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ORIENTAÇÕES ORÇAMENTOS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a coleta de orçamentos que comporão o Mapa de Formação de Preços deverá ser observada a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Instrução Normativa nº 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65/2021, disponível no link: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https://www.gov.br/plataformamaisbrasil/pt-br/legislacao-geral/instrucoes-normativas/instrucao-normativa-seges-me-no-65-de-7-de-julho-de-2021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PONTOS DE ATENÇÃO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181e"/>
          <w:sz w:val="20"/>
          <w:szCs w:val="20"/>
          <w:u w:val="none"/>
          <w:shd w:fill="auto" w:val="clear"/>
          <w:vertAlign w:val="baseline"/>
          <w:rtl w:val="0"/>
        </w:rPr>
        <w:t xml:space="preserve">Recomenda-se a formação de uma cesta de orçamentos, que contemple diferentes fontes (Preços Praticados Com a Administração Pública, Pesquisas de Internet e Com Fornecedores). Com isso espera-se obter preços fidedignos, condizentes com o mercado.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e181e"/>
          <w:sz w:val="20"/>
          <w:szCs w:val="20"/>
          <w:u w:val="single"/>
          <w:shd w:fill="auto" w:val="clear"/>
          <w:vertAlign w:val="baseline"/>
          <w:rtl w:val="0"/>
        </w:rPr>
        <w:t xml:space="preserve">É imprescindível uma análise criteriosa dos orçamentos obtidos. Os valores não devem ser discrepantes entre si, nem demasiadamente elevados, tampouco baixos. Preços elevados podem, mesmo após a disputa de preços, causar prejuízo ao erário. Já os baixos, podem resultar em itens desertos e fracassados.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ce181e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e181e"/>
          <w:sz w:val="20"/>
          <w:szCs w:val="20"/>
          <w:u w:val="single"/>
          <w:shd w:fill="auto" w:val="clear"/>
          <w:vertAlign w:val="baseline"/>
          <w:rtl w:val="0"/>
        </w:rPr>
        <w:t xml:space="preserve">Nos casos de prestação de serviços com dedicação exclusiva de mão-de-obra, quando as pesquisas forem realizadas com base nos incisos I e II, a análise deverá considerar a Planilha de Formação de Preços. As planilhas deverão ser atualizadas considerando o esboço da contratação (carga horária, vale transporte, CCT, etc) e acostadas aos autos como parte da pesquisa de preços.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Quando forem utilizados orçamentos da internet, deverão ser observados 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utilizar sites de marketplace como Americanas, Submarino e Shoptime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everá ser observada qual é a empresa que realmente está ofertando o produto. Pode ser utilizado o intermediador, todavia, não se pode utilizar diferentes intermediadores que utilizem a oferta da mesma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23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Prints de tela não servem como orçamento. Para ser válido, deve-se imprimir a tela completa e salvá-la em PDF. O PDF deverá conter: data da pesquisa, endereço do site consultado e todas as páginas geradas, mesmo que não apresentem informações relevantes;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23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site deverá possuir CNPJ ou CPF. Normalmente essa informação aparece no final da página. Caso a informação não apareça, pode-se consultar no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RegistroBR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na barra de consulta deve ser informado o endereço do site, sem o www. Caso o proprietário seja Pessoa Jurídica, no campo Documento aparecerá o CNPJ;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23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Deverão ser consideradas características similares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às exigidas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pela Administração: garantia estendida, frete,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23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Quando for utilizada a ferramenta do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Painel de Preços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/Pesquisa de Preços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Deve-se analisar os preços individualmente e desconsiderar médias e medianas apresentadas automaticamente pelo sistema;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Recomenda-se, ainda, que as especificações apresentadas no Resultado das pesquisas seja confrontado com os respectivos editais, de modo a conferir a especificação e unidade de medida;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Deve-se observar, também, os quantitativos que contemplam os resultados. Dependendo do objeto, o custo para entregar poucas unidades é maior do que para entregar quantitativos significantes.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Outra opção para as pesquisas de preços, que também reflete os preços praticados com a Administração Pública: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Realizar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Pesquisa Textual em Editais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Portal de Compras Governamentais: Informa-se no campo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“Texto/Termos a serem pesquisados”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palavras-chave do item a ser pesquisado. O sistema retornará editais que contenham essas palavras. Deve-se pesquisar o edital, para verificar se o item é condizente com o objeto da pesquisa. Caso reflita o mesmo item que está sendo pesquisado, anota-se o número do Item, do Pregão e a UASG;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Posteriormente, deve-se consultar os documentos gerados pela licitação, na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Consulta Ata de Pregão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disponível no Portal de Compras Governamentais. Ali informa-se a UASG e o Número do Pregão, depois, clica-se no número do pregão para então ter acesso aos documentos gerados. No Termo de Homologação, opção Imprimir Relatório, tem-se acesso ao documento na íntegra. Identifica-se o item, e caso esteja como Situação: Homologado, pode ser utilizado como orçamento.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984" w:right="0" w:hanging="34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Poderão ser utilizados valores de licitações homologadas há no máximo 1 (um) ano anterior à data de divulgação do instrumento convocatório.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30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Quando for utilizada a opção de pesquisa diretamente com o fornecedor: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Deverão ser consultados NO MÍNIMO 3 (três) fornecedores, mediante solicitação formal de cotação, por meio de ofício ou e-mail, desde que seja apresentada justificativa da escolha desses fornecedores e que não tenham sido obtidos os orçamentos com mais de 6 (seis) meses de antecedência da data de divulgação do edital;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right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a consulta for realizada por e-mail, deverá ser encaminhado o orçamento juntamente ao e-mail recebido do fornecedor;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a consulta for realizada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loco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os documentos deverão estar assinados e datados pelo fornecedor;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orçamento deverá conter a proposta (valor unitário e total), já incluindo eventuais despesas com frete e impostos;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Deverá conter os dados da empresa, sendo imprescindível a menção ao CNPJ ou CPF.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108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Deverá ser juntado ao processo a cópia dos e-mails enviados a outros fornecedores, que não foram utilizados na composição do preço ou não obtiveram resposta.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88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2801" w:top="3005" w:left="1701" w:right="850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Spranq eco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55.0" w:type="dxa"/>
      <w:jc w:val="left"/>
      <w:tblInd w:w="-55.0" w:type="dxa"/>
      <w:tblLayout w:type="fixed"/>
      <w:tblLook w:val="0000"/>
    </w:tblPr>
    <w:tblGrid>
      <w:gridCol w:w="3855"/>
      <w:gridCol w:w="5500"/>
      <w:tblGridChange w:id="0">
        <w:tblGrid>
          <w:gridCol w:w="3855"/>
          <w:gridCol w:w="5500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132715</wp:posOffset>
                </wp:positionH>
                <wp:positionV relativeFrom="paragraph">
                  <wp:posOffset>58420</wp:posOffset>
                </wp:positionV>
                <wp:extent cx="1670050" cy="51816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180" l="-59" r="-58" t="-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0" cy="518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3E">
          <w:pPr>
            <w:numPr>
              <w:ilvl w:val="0"/>
              <w:numId w:val="1"/>
            </w:numPr>
            <w:jc w:val="both"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Comissão responsável pelos mapeamentos dos fluxos e padronizações dos processos de aquisições do Instituto Federal de Educação, Ciência e Tecnologia Catarinense.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numPr>
              <w:ilvl w:val="0"/>
              <w:numId w:val="1"/>
            </w:numPr>
            <w:jc w:val="both"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Portaria IFC/Reitoria nº 32/2022-PROAD/IFC, de 28 de julho de 2022.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numPr>
              <w:ilvl w:val="0"/>
              <w:numId w:val="1"/>
            </w:num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jc w:val="both"/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u w:val="single"/>
              <w:rtl w:val="0"/>
            </w:rPr>
            <w:t xml:space="preserve">Atualização: Março/2023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2689225</wp:posOffset>
          </wp:positionH>
          <wp:positionV relativeFrom="paragraph">
            <wp:posOffset>-111759</wp:posOffset>
          </wp:positionV>
          <wp:extent cx="626745" cy="655320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796" l="-1838" r="-1838" t="-1797"/>
                  <a:stretch>
                    <a:fillRect/>
                  </a:stretch>
                </pic:blipFill>
                <pic:spPr>
                  <a:xfrm>
                    <a:off x="0" y="0"/>
                    <a:ext cx="626745" cy="655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2" w:sz="8" w:val="single"/>
        <w:right w:color="000000" w:space="0" w:sz="0" w:val="none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Catarinense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rFonts w:ascii="Arial" w:cs="Arial" w:eastAsia="Arial" w:hAnsi="Arial"/>
        <w:b w:val="1"/>
        <w:i w:val="0"/>
        <w:smallCaps w:val="0"/>
        <w:sz w:val="20"/>
        <w:szCs w:val="20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omprasnet.gov.br/acesso.asp?url=/livre/pregao/ata0.asp" TargetMode="External"/><Relationship Id="rId10" Type="http://schemas.openxmlformats.org/officeDocument/2006/relationships/hyperlink" Target="http://comprasnet.gov.br/acesso.asp?url=/ConsultaLicitacoes/ConsLicitacao_texto.asp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aineldeprecos.planejamento.gov.br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in.gov.br/en/web/dou/-/instrucao-normativa-n-73-de-5-de-agosto-de-2020-270711836" TargetMode="External"/><Relationship Id="rId7" Type="http://schemas.openxmlformats.org/officeDocument/2006/relationships/hyperlink" Target="https://www.gov.br/plataformamaisbrasil/pt-br/legislacao-geral/instrucoes-normativas/instrucao-normativa-seges-me-no-65-de-7-de-julho-de-2021" TargetMode="External"/><Relationship Id="rId8" Type="http://schemas.openxmlformats.org/officeDocument/2006/relationships/hyperlink" Target="https://registro.br/2/whoi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