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numPr>
          <w:ilvl w:val="0"/>
          <w:numId w:val="1"/>
        </w:numPr>
        <w:spacing w:before="40" w:after="40"/>
        <w:jc w:val="center"/>
        <w:rPr>
          <w:rFonts w:ascii="Calibri" w:hAnsi="Calibri" w:cs="Calibri" w:asciiTheme="majorHAnsi" w:cstheme="majorHAnsi" w:hAnsiTheme="majorHAnsi"/>
          <w:b/>
          <w:color w:val="FF0000"/>
        </w:rPr>
      </w:pPr>
      <w:r>
        <w:rPr>
          <w:rFonts w:cs="Calibri" w:ascii="Calibri" w:hAnsi="Calibri" w:asciiTheme="majorHAnsi" w:cstheme="majorHAnsi" w:hAnsiTheme="majorHAnsi"/>
          <w:b/>
        </w:rPr>
        <w:t>ESTUDO TÉCNICO PRELIMINAR</w:t>
      </w:r>
    </w:p>
    <w:p>
      <w:pPr>
        <w:pStyle w:val="LO-normal"/>
        <w:numPr>
          <w:ilvl w:val="0"/>
          <w:numId w:val="1"/>
        </w:numPr>
        <w:spacing w:before="40" w:after="40"/>
        <w:jc w:val="center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  <w:color w:val="FF0000"/>
        </w:rPr>
        <w:t>(A ser inserido no sistema ETP Digital, conforme IN 40, de 22 de maio de 2020)</w:t>
      </w:r>
    </w:p>
    <w:p>
      <w:pPr>
        <w:pStyle w:val="LO-normal"/>
        <w:numPr>
          <w:ilvl w:val="0"/>
          <w:numId w:val="1"/>
        </w:numPr>
        <w:spacing w:before="40" w:after="40"/>
        <w:jc w:val="center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1. Indicação da Área Requisitante</w:t>
      </w:r>
    </w:p>
    <w:p>
      <w:pPr>
        <w:pStyle w:val="ListParagrap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iCs/>
                <w:sz w:val="24"/>
                <w:szCs w:val="24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Setor Requisitante</w:t>
            </w:r>
          </w:p>
        </w:tc>
      </w:tr>
      <w:tr>
        <w:trPr/>
        <w:tc>
          <w:tcPr>
            <w:tcW w:w="9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XXXXXXX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Servidor(es) responsável(eis) no setor requisitante</w:t>
            </w:r>
          </w:p>
        </w:tc>
      </w:tr>
      <w:tr>
        <w:trPr/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XXXXXXX</w:t>
            </w:r>
          </w:p>
        </w:tc>
      </w:tr>
      <w:tr>
        <w:trPr/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XXXXXXX</w:t>
            </w:r>
          </w:p>
        </w:tc>
      </w:tr>
      <w:tr>
        <w:trPr/>
        <w:tc>
          <w:tcPr>
            <w:tcW w:w="9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XXXXXXX</w:t>
            </w:r>
          </w:p>
        </w:tc>
      </w:tr>
    </w:tbl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bCs/>
        </w:rPr>
      </w:pPr>
      <w:r>
        <w:rPr>
          <w:rFonts w:cs="Calibri" w:cstheme="majorHAnsi" w:ascii="Calibri" w:hAnsi="Calibri"/>
          <w:bCs/>
        </w:rPr>
      </w:r>
    </w:p>
    <w:p>
      <w:pPr>
        <w:pStyle w:val="LO-normal"/>
        <w:shd w:val="clear" w:color="auto" w:fill="F2F2F2" w:themeFill="background1" w:themeFillShade="f2"/>
        <w:spacing w:before="40" w:after="40"/>
        <w:ind w:left="720"/>
        <w:jc w:val="both"/>
        <w:rPr>
          <w:rFonts w:ascii="Calibri" w:hAnsi="Calibri" w:cs="Calibri" w:asciiTheme="majorHAnsi" w:cstheme="majorHAnsi" w:hAnsiTheme="majorHAnsi"/>
          <w:b/>
          <w:color w:val="EE0000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b/>
          <w:color w:val="EE0000"/>
          <w:sz w:val="23"/>
          <w:szCs w:val="23"/>
        </w:rPr>
        <w:t>Atenção!  (ler e apagar)</w:t>
      </w:r>
    </w:p>
    <w:p>
      <w:pPr>
        <w:pStyle w:val="LO-normal"/>
        <w:numPr>
          <w:ilvl w:val="0"/>
          <w:numId w:val="1"/>
        </w:numPr>
        <w:shd w:val="clear" w:color="auto" w:fill="F2F2F2" w:themeFill="background1" w:themeFillShade="f2"/>
        <w:tabs>
          <w:tab w:val="left" w:pos="720" w:leader="none"/>
        </w:tabs>
        <w:spacing w:before="40" w:after="40"/>
        <w:ind w:left="720"/>
        <w:jc w:val="both"/>
        <w:rPr>
          <w:rFonts w:ascii="Calibri" w:hAnsi="Calibri" w:cs="Calibri" w:asciiTheme="majorHAnsi" w:cstheme="majorHAnsi" w:hAnsiTheme="majorHAnsi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sz w:val="23"/>
          <w:szCs w:val="23"/>
        </w:rPr>
        <w:t xml:space="preserve">a) A regra pela nova lei de licitações é a disputa quando possível, mesmo nos casos de dispensa de licitação, portanto é necessário que as informações estejam detalhadas e completas neste Estudo Técnico Preliminar de modo que não fiquem dúvidas sobre a forma de prestação do serviço e exigências associadas, também, para que seja possível afastar fornecedores sem condições de prestar os serviços. </w:t>
      </w:r>
    </w:p>
    <w:p>
      <w:pPr>
        <w:pStyle w:val="LO-normal"/>
        <w:shd w:val="clear" w:color="auto" w:fill="F2F2F2" w:themeFill="background1" w:themeFillShade="f2"/>
        <w:spacing w:before="40" w:after="40"/>
        <w:ind w:left="720"/>
        <w:jc w:val="both"/>
        <w:rPr>
          <w:rFonts w:ascii="Calibri" w:hAnsi="Calibri" w:cs="Calibri" w:asciiTheme="majorHAnsi" w:cstheme="majorHAnsi" w:hAnsiTheme="majorHAnsi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sz w:val="23"/>
          <w:szCs w:val="23"/>
        </w:rPr>
        <w:t>b) A estruturação desse documento deve ser feita em linguagem clara e de simples entendimento, de modo que, mesmo sendo um tema técnico, as justificativas e explicações sejam compreensíveis para uma pessoa sem conhecimentos na área.</w:t>
      </w:r>
    </w:p>
    <w:p>
      <w:pPr>
        <w:pStyle w:val="LO-normal"/>
        <w:shd w:val="clear" w:color="auto" w:fill="F2F2F2" w:themeFill="background1" w:themeFillShade="f2"/>
        <w:spacing w:before="40" w:after="40"/>
        <w:ind w:left="720"/>
        <w:jc w:val="both"/>
        <w:rPr>
          <w:rFonts w:ascii="Calibri" w:hAnsi="Calibri" w:cs="Calibri" w:asciiTheme="majorHAnsi" w:cstheme="majorHAnsi" w:hAnsiTheme="majorHAnsi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sz w:val="23"/>
          <w:szCs w:val="23"/>
        </w:rPr>
        <w:t>c) As instruções para preenchimento estão apresentadas nos campos verde-claro, que devem ser lidos e substituídos pelo texto final.</w:t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2. Descrição da Necessidade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Trata-se do problema ou necessidade a ser resolvido, demonstrando o interesse público ou institucional a ser atendido, e, quando possível, o impacto do não atendimento adequado. Esse tópico deve focar exclusivamente na necessidade identificada. Quanto mais detalhes acerca da necessidade, melhor será para o preenchimento dos tópicos subsequentes.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É muito comum haver confusão entre uma solução possível e a necessidade. Por exemplo, a decisão pela compra de um telefone não é uma necessidade, mas sim uma solução para a necessidade de possuir um meio de comunicação eficiente. Portanto, para além da compra do telefone, o Estudo Técnico Preliminar visa identificar qual dentre as possíveis soluções disponíveis melhor atende a necessidade por comunicação, e, por fim, concluir que a melhor alternativa será adquirir um telefone de fato.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3. Descrição dos Requisitos de Contratação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Os requisitos da contratação podem ser melhor entendidos como o rol de atributos, condições e restrições que a solução deve possuir para estar apta a atender a necessidade.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Nessa etapa ainda não elencamos as possíveis alternativas, mas apenas os requisitos que a alternativa deve ter. Usando o exemplo da necessidade de comunicação, teríamos, com mais detalhamento, talvez os seguintes tópicos: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Necessidade de se comunicar/realizar chamadas em vídeo;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Permitir comunicações simultâneas;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Disponibilidade do serviço 24hrs por dia;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Retorno da disponibilidade do serviço em até duas horas;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Fornecimento de treinamento/garantia;</w:t>
            </w:r>
          </w:p>
          <w:p>
            <w:pPr>
              <w:pStyle w:val="ListParagraph"/>
              <w:numPr>
                <w:ilvl w:val="0"/>
                <w:numId w:val="2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Etc.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color w:val="00A933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A933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É importante ter em mente que alguns requisitos podem aumentar os custos de uma solução ou restringir indevidamente a competitividade do certame. Portanto, é recomendável que, pelo menos, os requisitos mais sensíveis apresentem uma breve justificativa defendendo a sua exigência.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Isso é especialmente importante para afastar possíveis questionamentos de órgãos de controle interno e externo como UNAI, CGU e TCU, que podem apontar restrição indevida da competitividade ou indícios de direcionamento.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cs="Calibri" w:cstheme="majorHAnsi" w:ascii="Calibri" w:hAnsi="Calibri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4. Levantamento de Mercado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O levantamento de mercado consiste em ir a campo e verificar quais as tecnologias, sistemas, processos e insumos existem para atender a necessidade e requisitos indicados nos tópicos anteriores.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Nesse tópico deve ser levantada a relação das alternativas existentes, seus pros e contras, com elementos e detalhes suficientes para fundamentar e justificar a alternativa escolhida. No exemplo de necessidade de comunicação, teríamos possivelmente as seguintes alternativas: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b/>
                <w:bCs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Alternativa 1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contratação de telefonia fixa comutada com a locação de equipamentos;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Alternativa 2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contratação de VoIP.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Alternativa 3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compra de equipamentos e contratação do serviço em separado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Etc.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Nessa etapa também é realizada a análise das alternativas identificadas. O responsável pelo Estudo Técnico Preliminar deverá selecionar dentre as alternativas, justificadamente, qual é a solução mais adequada a ser adotada.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color w:val="00A93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Em várias situações o custo das alternativas será um dos critérios de escolha da solução. A realização de pesquisas de preços segue a metodologia disciplinada pela Instrução Normativa SEGES/ME Nº 65/2021, portanto, recomenda-se que o responsável elabore o levantamento de preços de acordo com esse regramento.</w:t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color w:val="00A933"/>
              </w:rPr>
            </w:pPr>
            <w:r>
              <w:rPr>
                <w:rFonts w:cs="Calibri" w:cstheme="majorHAnsi" w:ascii="Calibri" w:hAnsi="Calibri"/>
                <w:color w:val="00A93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O levantamento de mercado também é importante para entender quais são as práticas usuais de mercado, a forma como os serviços costumam ser prestados, etc. Essa verificação é importante para garantir que as exigências da administração sejam compatíveis com o que os fornecedores podem ofertar.</w:t>
            </w:r>
          </w:p>
          <w:p>
            <w:pPr>
              <w:pStyle w:val="Normal"/>
              <w:suppressAutoHyphens w:val="true"/>
              <w:spacing w:before="40" w:after="40"/>
              <w:ind w:right="113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5. Descrição da Solução Como um Todo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Nessa etapa, a solução escolhida no tópico anterior será apresentada de modo completo e estruturado com os requisitos, prazos, regras, cronogramas, etc.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Sugere-se a seguinte estrutura: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Objeto da contratação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Descrever o objeto a ser contratado, em um parágrafo, que permita aos potenciais fornecedores/licitantes identificar o que a administração pretende contratar.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Exemplo 1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Aquisição/fornecimento/compra de XXXXXX, nos termos da tabela XXXX, conforme condições e exigências estabelecidas neste instrumento para atendimento das necessidades da unidade XXXX do IFC.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Exemplo 2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Contratação/licenciamento de software como serviço XXXXXX, para atender as necessidades do Instituto Federal Catarinense.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Exemplo 3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Contratação de Curso/Palestra XXXXXX para o setor XXXXXX a fim de atender as necessidades de capacitação no tema XXXXXXXXX para o Instituto Federal Catarinense.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Exemplo 4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Prestação de serviços contínuos de XXXXXX, com/sem dedicação exclusiva de mão de obra, com/sem fornecimento de materiais, para atender às necessidades do Instituto Federal Catarinense.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Requisitos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: Apresentar o rol de exigências, requisitos e restrições que se aplicam a solução escolhida que precisam constar no edital e anexos. Seguem alguns possíveis temas: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Forma e condições como será executado, prazos, vigência, locais e horários;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Como o serviço será medido, avaliado;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Possibilidade ou não de permitir a subcontratação do serviço;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Exigências de garantia, treinamento e assistência técnica;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Necessidade ou não de vistoriar previamente o local para apresentação de proposta;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Rotinas que devem ser executadas pela contratada;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Materiais e equipamentos que devem ser disponibilizados;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Exigências de qualificação profissional e qualidade;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Como os materiais serão fornecidos, se em lotes, quantidades mínimas, etc;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Requisitos a serem atendidos pelos funcionários que executarão o serviço, como exigências de EPI, identificação, etc.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É possível que os requisitos da contratação apontados no tópico “3. Descrição dos Requisitos de Contratação” precisem ser ajustados/complementados neste, bem como incluído novos requisitos, específicos da solução escolhida.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b/>
                <w:bCs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Atentar para a inclusão de informações que sejam relevantes para o futuro fornecedor formar seu preço e seus custos de frete, tais como: necessidade de deslocamentos, quantitativo mínimo, frequência, etc.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6. Estimativa das Quantidades a serem contratadas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 justificativa do quantitativo a ser contratado é exigência obrigatória, e passou a ser foco de verificação dos órgãos de controle na avaliação da qualidade do gasto público, ou seja, esse tópico deve apresentar a quantidade demandada e também justificá-la.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O quantitativo deve ser fundamentado em alguma evidência, por exemplo, estimativa, histórico de consumo, número de beneficiários, quantidades de meses, de horas, porte do evento, quantidade de dias necessários, etc.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A forma como o tópico “5. descrição da solução como um todo” define o fornecimento ou prestação do serviço determinará como a estimativa de consumo será contabilizada, se por lotes ou pedidos mínimos, prestação de serviço mensal ou por chamada, etc.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cs="Calibri" w:cstheme="majorHAnsi" w:ascii="Calibri" w:hAnsi="Calibri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7. Estimativa do Valor da Contratação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 estimativa do valor da contração costuma ocorrer na etapa de levantamento de mercado e geralmente é um dos critérios de escolha da solução. Portanto, deve ser apresentada a estimativa preliminar de custo da contratação, que será complementada pelo setor de licitações nas fases subsequentes.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color w:val="00A933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A realização de pesquisas de preços segue a metodologia disciplinada pela Instrução Normativa SEGES/ME Nº 65/2021, portanto, recomenda-se que o responsável elabore o levantamento de preços de acordo com esse regramento.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cs="Calibri" w:cstheme="majorHAnsi" w:ascii="Calibri" w:hAnsi="Calibri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8. Justificativa para o Parcelamento ou não da Solução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No caso de soluções que podem ser divididas em vários itens, a regra é separá-los para que sejam licitados em itens distintos, por diferentes empresas, com o objetivo de ampliar a competitividade do certame.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Então é necessário avaliar se o parcelamento é aplicável. Caso contrário, é necessário justificar sua impossibilidade ou, quando o agrupamento de vários itens é mais vantajoso ou imprescindível em virtude de compatibilidade, interconectividade ou outro motivo deverá ser transcrita justificativa técnica. Portanto: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A solução é única e não parcelável?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 Declarar que não se aplica o parcelamento no caso.</w:t>
            </w:r>
          </w:p>
          <w:p>
            <w:pPr>
              <w:pStyle w:val="LO-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Exemplo: Contratação de Videomonitoramento integrado: Após análise técnica, concluiu-se que a solução se caracteriza como única e não parcelável, devido à interdependência funcional, compatibilidade técnica necessária e à exigência de suporte/garantia unificados, de modo que o parcelamento comprometeria a entrega do desempenho especificado, a interoperabilidade e a responsabilização do contratado. Portanto, não se aplica o parcelamento neste caso.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 xml:space="preserve">A solução pode e será parcelada? 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Declarar que o parcelamento da solução foi realizado conforme apresentado no tópico “descrição da solução como um todo” e promover os ajustes necessários.</w:t>
            </w:r>
          </w:p>
          <w:p>
            <w:pPr>
              <w:pStyle w:val="LO-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Exemplo Solução para serviços e materiais de rede, como aquisição de cabeamento, instalação e outros equipamentos: A análise técnica declara que a solução é composta por itens autônomos e substituíveis entre si, sem prejuízo à padronização ou a interoperabilidade. Assim, o parcelamento foi adotado, conforme detalhado na “Descrição da Solução como um todo”, com divisão em itens/lotes para ampliar a competitividade e permitir proposta por fornecedores especializados.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A solução pode, mas não deve ser parcelada?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 Justificar demonstrando os prejuízos/riscos do parcelamento e benefícios do não parcelamento.</w:t>
            </w:r>
          </w:p>
          <w:p>
            <w:pPr>
              <w:pStyle w:val="LO-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Exemplo: Outsourcing de impressão (serviço com insumos): Embora tecnicamente possível, o parcelamento não se mostra vantajoso neste caso. A divisão carreta riscos como fragmentação de responsabilidades e descasamento entre fornecedores de diferentes itens, ao passo que a contratação integrada/agrupada mitiga riscos e simplifica a gestão. Por esses motivos, opta-se pelo não parcelamento, com as seguintes justificativas: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9. Contratações Correlatas e/ou Interdependentes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Para que algumas contratações sejam viabilizadas é necessário que outras sejam realizadas, especialmente se ocorrer o parcelamento da solução apontado no tópico anterior, portanto, quando a contratação depender de outra para que a necessidade seja atendida, deve ser apontado.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Apontar também caso a contratação dependa de algum serviço já existente, para que a administração avalie se existe a necessidade de realizar prorrogação ou aditivo daquele contrato.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Por exemplo: alguns equipamentos de laboratório podem requerer contratação de serviços para instalação/modernização da infraestrutura existente; a ampliação de uma infraestrutura pode requerer o aumento do número de funcionários terceirizados; a contratação de treinamento para viabilizar utilização de equipamento, contratação de serviços de registro, licenças e assim por diante. Portanto: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Solução não possui contratações correlatas/interdependentes?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 Declarar que não se aplica;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Solução é relacionável com outras contratações?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 Citar quais são.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10. Alinhamento entre a Contratação e o Planejamento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color w:val="FF0000"/>
        </w:rPr>
      </w:pPr>
      <w:r>
        <w:rPr>
          <w:rFonts w:cs="Calibri" w:cstheme="majorHAnsi" w:ascii="Calibri" w:hAnsi="Calibri"/>
          <w:color w:val="FF0000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O alinhamento entre contratação e planejamento trata-se de indicador das ações de governança que é objeto de avaliação da qualidade do gasto público. Portanto, o gasto deve estar alinhado com o planejamento da instituição.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Nesse tópico cabe ao requisitante verificar os documentos norteadores da instituição, especialmente o PDI, e apontar dentre os objetivos delineados quais estão sendo atendidos pela contratação.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cstheme="majorHAnsi"/>
                <w:iCs/>
                <w:color w:val="000000"/>
                <w:kern w:val="0"/>
                <w:sz w:val="23"/>
                <w:szCs w:val="23"/>
                <w:lang w:val="pt-BR" w:eastAsia="zh-CN" w:bidi="hi-IN"/>
              </w:rPr>
              <w:t>O PDI encontra-se em: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color w:val="000000"/>
                <w:sz w:val="23"/>
                <w:szCs w:val="23"/>
              </w:rPr>
            </w:pPr>
            <w:hyperlink r:id="rId2">
              <w:r>
                <w:rPr>
                  <w:rStyle w:val="Hyperlink"/>
                  <w:rFonts w:eastAsia="Liberation Serif" w:cs="Calibri" w:ascii="Calibri" w:hAnsi="Calibri" w:cstheme="majorHAnsi"/>
                  <w:iCs/>
                  <w:color w:val="000000"/>
                  <w:kern w:val="0"/>
                  <w:sz w:val="23"/>
                  <w:szCs w:val="23"/>
                  <w:lang w:val="pt-BR" w:eastAsia="zh-CN" w:bidi="hi-IN"/>
                </w:rPr>
                <w:t>https://ifc.edu.br/wp-content/uploads/2025/01/IFC_PDI_2024-2028_23.01.2025.pdf</w:t>
              </w:r>
            </w:hyperlink>
          </w:p>
          <w:p>
            <w:pPr>
              <w:pStyle w:val="LO-normal"/>
              <w:numPr>
                <w:ilvl w:val="1"/>
                <w:numId w:val="4"/>
              </w:numPr>
              <w:suppressAutoHyphens w:val="true"/>
              <w:spacing w:before="40" w:after="40"/>
              <w:jc w:val="both"/>
              <w:rPr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color w:val="000000"/>
                <w:kern w:val="0"/>
                <w:sz w:val="23"/>
                <w:szCs w:val="23"/>
                <w:lang w:val="pt-BR" w:eastAsia="zh-CN" w:bidi="hi-IN"/>
              </w:rPr>
              <w:t xml:space="preserve">Os objetivos estratégicos estão detalhados no </w:t>
            </w:r>
            <w:r>
              <w:rPr>
                <w:rFonts w:eastAsia="Liberation Serif" w:cs="Liberation Serif"/>
                <w:color w:val="000000"/>
                <w:kern w:val="0"/>
                <w:sz w:val="24"/>
                <w:szCs w:val="24"/>
                <w:lang w:val="pt-BR" w:eastAsia="zh-CN" w:bidi="hi-IN"/>
              </w:rPr>
              <w:t>Quadro 6: Painel de indicadores (pg 353)</w:t>
            </w:r>
          </w:p>
          <w:p>
            <w:pPr>
              <w:pStyle w:val="LO-normal"/>
              <w:numPr>
                <w:ilvl w:val="1"/>
                <w:numId w:val="4"/>
              </w:numPr>
              <w:suppressAutoHyphens w:val="true"/>
              <w:spacing w:before="40" w:after="40"/>
              <w:jc w:val="both"/>
              <w:rPr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color w:val="000000"/>
                <w:kern w:val="0"/>
                <w:sz w:val="23"/>
                <w:szCs w:val="23"/>
                <w:lang w:val="pt-BR" w:eastAsia="zh-CN" w:bidi="hi-IN"/>
              </w:rPr>
              <w:t>Deve-se ainda atentar ao Apêndice B – Painel de Indicadores e Metas, do mesmo documento (PDI), para formular o alinhamento e justificativa da contratação. (pg 553)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Sugestões de preenchimento: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Essa contratação se alinha com os objetivos XXXXXXXXXXXXXXX.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Essa contratação está vinculada ao projeto XXXXXXXXXXX, associado ao objetivo XXXXXXXXX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Essa contratação está associada a política XXXXXXXXX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Essa contratação visa a manutenção da infraestrutura existente na instituição que dá suporte aos objetivos estabelecidos no PDI.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11. Resultados Pretendidos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Todo gasto público objetiva o atendimento de uma necessidade que vai levar a um resultado desejável. Portanto, esses resultados ou benefícios esperados precisam ser declarados neste tópico, por exemplo: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Aquisição para manutenção dos estoques de segurança;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Materiais para a viabilização de projeto específico;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Aumento do nível de conformidade e satisfação do serviço;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Melhoria do atendimento ao público através diminuição do tempo de espera;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Diminuir o índice de indisponibilidade do sinal;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Aumentar a velocidade de processamento de chamadas;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Melhorar as condições de infraestrutura aos estudantes e usuários do serviço público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Etc.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 Recomenda-se sempre que possível quantificar os resultados e impactos, como número de beneficiários, economia gerada, ganho de eficiência, etc.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</w:rPr>
            </w:pPr>
            <w:r>
              <w:rPr>
                <w:rFonts w:cs="Calibri" w:cstheme="majorHAnsi" w:ascii="Calibri" w:hAnsi="Calibri"/>
                <w:iCs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12. Providências a serem adotadas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Algumas contratações exigem providências da própria administração para que sejam contratadas, como organizar treinamentos, preparar espaços, requerer autorizações, licenças, etc. Portanto, deve-se: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iCs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left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Declarar que não existe nenhuma providência a ser realizada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;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center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LO-normal"/>
              <w:suppressAutoHyphens w:val="true"/>
              <w:spacing w:before="40" w:after="40"/>
              <w:ind w:left="720"/>
              <w:jc w:val="left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kern w:val="0"/>
                <w:sz w:val="23"/>
                <w:szCs w:val="23"/>
                <w:lang w:val="pt-BR" w:eastAsia="zh-CN" w:bidi="hi-IN"/>
              </w:rPr>
              <w:t>Apontar quais são as providências, quem, quando como, onde, etc</w:t>
            </w: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.</w:t>
            </w:r>
          </w:p>
          <w:p>
            <w:pPr>
              <w:pStyle w:val="LO-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i/>
                <w:i/>
                <w:color w:val="FF0000"/>
              </w:rPr>
            </w:pPr>
            <w:r>
              <w:rPr>
                <w:rFonts w:cs="Calibri" w:cstheme="majorHAnsi" w:ascii="Calibri" w:hAnsi="Calibri"/>
                <w:i/>
                <w:color w:val="FF0000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13. Possíveis Impactos Ambientais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istParagraph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O tema ambiental ganhou tal relevância nas contratações públicas a ponto de possuir um tópico próprio segundo o art. 9 da IN SEGES Nº 58, de 8 de agosto de 2022.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before="40" w:after="40"/>
              <w:contextualSpacing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Neste tópico devem ser elencados os possíveis impactos ambientais associados a contratação.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Deve-se também apontar as medidas de contingência e exigências que devem ser obedecidas pela contratada para minimização dos impactos, por exemplo: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Atendimento a instruções ambientais específicas, ex.: resolução CONAMA, e outros.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Exigência de certificados específicos;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Adotar determinadas práticas de sustentabilidade;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Comprovar a destinação dos resíduos e a procedência dos materiais;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Etc.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Aonde os critérios de sustentabilidade podem ser consultados?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left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 xml:space="preserve">Plano de Logística Sustentável do IFC. Verificar se a contratação atende ao Plano de Ações e Metas e/ou demais critérios elencados do documento. O PLS encontra-se em: </w:t>
            </w:r>
            <w:hyperlink r:id="rId4">
              <w:r>
                <w:rPr>
                  <w:rStyle w:val="Hyperlink"/>
                  <w:rFonts w:eastAsia="Liberation Serif" w:cs="Calibri" w:ascii="Calibri" w:hAnsi="Calibri" w:asciiTheme="majorHAnsi" w:cstheme="majorHAnsi" w:hAnsiTheme="majorHAnsi"/>
                  <w:iCs/>
                  <w:color w:val="auto"/>
                  <w:kern w:val="0"/>
                  <w:sz w:val="23"/>
                  <w:szCs w:val="23"/>
                  <w:lang w:val="pt-BR" w:eastAsia="zh-CN" w:bidi="hi-IN"/>
                </w:rPr>
                <w:t>https://portariasnormativas.ifc.edu.br/wp-content/uploads/sites/72/2024/01/Anexo-Portaria-Normativa-2.pdf</w:t>
              </w:r>
            </w:hyperlink>
          </w:p>
          <w:p>
            <w:pPr>
              <w:pStyle w:val="Normal"/>
              <w:suppressAutoHyphens w:val="true"/>
              <w:spacing w:before="40" w:after="40"/>
              <w:ind w:left="720"/>
              <w:jc w:val="left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Style w:val="InternetLink2"/>
                <w:rFonts w:eastAsia="Liberation Serif" w:cs="Calibri" w:ascii="Calibri" w:hAnsi="Calibri" w:asciiTheme="majorHAnsi" w:cstheme="majorHAnsi" w:hAnsiTheme="majorHAnsi"/>
                <w:iCs/>
                <w:color w:val="auto"/>
                <w:kern w:val="0"/>
                <w:sz w:val="23"/>
                <w:szCs w:val="23"/>
                <w:lang w:val="pt-BR" w:eastAsia="zh-CN" w:bidi="hi-IN"/>
              </w:rPr>
              <w:t>https://nga.ifc.edu.br/orientacoes/</w:t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iCs/>
                <w:kern w:val="0"/>
                <w:sz w:val="23"/>
                <w:szCs w:val="23"/>
                <w:lang w:val="pt-BR" w:eastAsia="zh-CN" w:bidi="hi-IN"/>
              </w:rPr>
              <w:t>Observar a Cartilha da CGU, COMO INSERIR CRITÉRIOS DE SUSTENTABILIDADE NAS CONTRATAÇÕES PÚBLICAS. Disponível em: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iCs/>
                <w:sz w:val="23"/>
                <w:szCs w:val="23"/>
              </w:rPr>
            </w:pPr>
            <w:hyperlink r:id="rId5">
              <w:r>
                <w:rPr>
                  <w:rStyle w:val="Hyperlink"/>
                  <w:rFonts w:eastAsia="Liberation Serif" w:cs="Calibri" w:ascii="Calibri" w:hAnsi="Calibri" w:asciiTheme="majorHAnsi" w:cstheme="majorHAnsi" w:hAnsiTheme="majorHAnsi"/>
                  <w:iCs/>
                  <w:color w:val="auto"/>
                  <w:kern w:val="0"/>
                  <w:sz w:val="23"/>
                  <w:szCs w:val="23"/>
                  <w:lang w:val="pt-BR" w:eastAsia="zh-CN" w:bidi="hi-IN"/>
                </w:rPr>
                <w:t>https://www.gov.br/agu/pt-br/composicao/cgu/cgu/cartasecartilhas/cartilha-como-inerir-criterios-de-sustentabilidade-nas-contratacoes-publicas.pdf</w:t>
              </w:r>
            </w:hyperlink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Atenção!</w:t>
            </w: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 xml:space="preserve"> Citar os documentos, resoluções e orientações consultadas, pois irão compor declaração específica.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Sugestões de preenchimento: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Impactos ambientais: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 contratação não resulta em nenhum impacto ambiental direto.</w:t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A contratação gera os seguintes impactos ambientais: XXXXXXXX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Medidas a serem adotadas:</w:t>
            </w:r>
          </w:p>
          <w:p>
            <w:pPr>
              <w:pStyle w:val="Normal"/>
              <w:suppressAutoHyphens w:val="true"/>
              <w:spacing w:before="40" w:after="40"/>
              <w:ind w:left="72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sz w:val="23"/>
                <w:szCs w:val="23"/>
              </w:rPr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Não incidem medidas ambientais a serem adotadas na presente contratação.</w:t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kern w:val="0"/>
                <w:sz w:val="23"/>
                <w:szCs w:val="23"/>
                <w:lang w:val="pt-BR" w:eastAsia="zh-CN" w:bidi="hi-IN"/>
              </w:rPr>
              <w:t>ou</w:t>
            </w:r>
          </w:p>
          <w:p>
            <w:pPr>
              <w:pStyle w:val="Normal"/>
              <w:suppressAutoHyphens w:val="true"/>
              <w:spacing w:before="40" w:after="40"/>
              <w:ind w:left="1440"/>
              <w:jc w:val="both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Devem ser adotadas as seguintes medidas para a mitigação dos impactos ambientais: XXXXXXXXXX</w:t>
            </w:r>
          </w:p>
          <w:p>
            <w:pPr>
              <w:pStyle w:val="Normal"/>
              <w:suppressAutoHyphens w:val="true"/>
              <w:spacing w:before="40" w:after="40"/>
              <w:jc w:val="both"/>
              <w:rPr>
                <w:rFonts w:ascii="Calibri" w:hAnsi="Calibri" w:cs="Calibri" w:asciiTheme="majorHAnsi" w:cstheme="majorHAnsi" w:hAnsiTheme="majorHAnsi"/>
                <w:color w:themeColor="accent6" w:val="F79646"/>
              </w:rPr>
            </w:pPr>
            <w:r>
              <w:rPr>
                <w:rFonts w:cs="Calibri" w:cstheme="majorHAnsi" w:ascii="Calibri" w:hAnsi="Calibri"/>
                <w:color w:themeColor="accent6" w:val="F79646"/>
              </w:rPr>
            </w:r>
          </w:p>
        </w:tc>
      </w:tr>
    </w:tbl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14. Declaração de Viabilidade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2"/>
        <w:gridCol w:w="8533"/>
      </w:tblGrid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suppressAutoHyphens w:val="true"/>
              <w:spacing w:before="16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color w:val="000000"/>
                <w:kern w:val="0"/>
                <w:sz w:val="28"/>
                <w:szCs w:val="28"/>
                <w:lang w:val="pt-BR" w:eastAsia="zh-CN" w:bidi="hi-IN"/>
              </w:rPr>
              <w:t>X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3"/>
                <w:szCs w:val="23"/>
                <w:lang w:val="pt-BR" w:eastAsia="zh-CN" w:bidi="hi-IN"/>
              </w:rPr>
              <w:t>Esta equipe de planejamento declara viável esta contratação com base neste Estudo Técnico Preliminar.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3"/>
                <w:szCs w:val="23"/>
                <w:lang w:val="pt-BR" w:eastAsia="zh-CN" w:bidi="hi-IN"/>
              </w:rPr>
              <w:t>Justificativa: Conforme conclusões constantes no presente estudo.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16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8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3"/>
                <w:szCs w:val="23"/>
                <w:lang w:val="pt-BR" w:eastAsia="zh-CN" w:bidi="hi-IN"/>
              </w:rPr>
              <w:t>Esta equipe de planejamento declara viável com restrições esta contratação com base neste Estudo Técnico Preliminar.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3"/>
                <w:szCs w:val="23"/>
                <w:lang w:val="pt-BR" w:eastAsia="zh-CN" w:bidi="hi-IN"/>
              </w:rPr>
              <w:t xml:space="preserve">Justificativa: </w:t>
            </w: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color w:val="000000"/>
                <w:kern w:val="0"/>
                <w:sz w:val="23"/>
                <w:szCs w:val="23"/>
                <w:lang w:val="pt-BR" w:eastAsia="zh-CN" w:bidi="hi-IN"/>
              </w:rPr>
              <w:t>(preencher ao selecionar esse item)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</w:tcBorders>
            <w:shd w:color="auto" w:fill="EAF1DD" w:themeFill="accent3" w:themeFillTint="33" w:val="clea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16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85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3"/>
                <w:szCs w:val="23"/>
                <w:lang w:val="pt-BR" w:eastAsia="zh-CN" w:bidi="hi-IN"/>
              </w:rPr>
              <w:t>Esta equipe de planejamento declara inviável esta contratação com base neste Estudo Técnico Preliminar.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color w:val="000000"/>
                <w:kern w:val="0"/>
                <w:sz w:val="23"/>
                <w:szCs w:val="23"/>
                <w:lang w:val="pt-BR" w:eastAsia="zh-CN" w:bidi="hi-IN"/>
              </w:rPr>
              <w:t xml:space="preserve">Justificativa: </w:t>
            </w: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color w:val="000000"/>
                <w:kern w:val="0"/>
                <w:sz w:val="23"/>
                <w:szCs w:val="23"/>
                <w:lang w:val="pt-BR" w:eastAsia="zh-CN" w:bidi="hi-IN"/>
              </w:rPr>
              <w:t>(preencher ao selecionar esse item)</w:t>
            </w:r>
          </w:p>
          <w:p>
            <w:pPr>
              <w:pStyle w:val="LO-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3"/>
                <w:szCs w:val="23"/>
              </w:rPr>
            </w:pPr>
            <w:r>
              <w:rPr>
                <w:rFonts w:cs="Calibri" w:cstheme="majorHAnsi" w:ascii="Calibri" w:hAnsi="Calibri"/>
                <w:color w:val="000000"/>
                <w:sz w:val="23"/>
                <w:szCs w:val="23"/>
              </w:rPr>
            </w:r>
          </w:p>
        </w:tc>
      </w:tr>
    </w:tbl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</w:rPr>
        <w:t>15. Responsáveis Pela Elaboração do Estudo Técnico Preliminar</w:t>
      </w:r>
    </w:p>
    <w:p>
      <w:pPr>
        <w:pStyle w:val="LO-normal"/>
        <w:numPr>
          <w:ilvl w:val="0"/>
          <w:numId w:val="1"/>
        </w:numPr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5"/>
        <w:gridCol w:w="1701"/>
        <w:gridCol w:w="2129"/>
        <w:gridCol w:w="2268"/>
        <w:gridCol w:w="1163"/>
      </w:tblGrid>
      <w:tr>
        <w:trPr>
          <w:trHeight w:val="565" w:hRule="atLeast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CPF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Função ou Cargo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SIAPE</w:t>
            </w:r>
          </w:p>
        </w:tc>
      </w:tr>
      <w:tr>
        <w:trPr/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completo, sem ocultar números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preferencialmente a função, caso não possua, informar o cargo.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completo</w:t>
            </w:r>
          </w:p>
        </w:tc>
      </w:tr>
      <w:tr>
        <w:trPr/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LO-normal"/>
              <w:numPr>
                <w:ilvl w:val="0"/>
                <w:numId w:val="1"/>
              </w:numPr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color w:val="000000"/>
                <w:sz w:val="20"/>
                <w:szCs w:val="20"/>
              </w:rPr>
            </w:pPr>
            <w:r>
              <w:rPr>
                <w:rFonts w:cs="Calibri" w:cstheme="majorHAns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LO-normal"/>
        <w:spacing w:before="40" w:after="40"/>
        <w:jc w:val="both"/>
        <w:rPr>
          <w:rFonts w:ascii="Calibri" w:hAnsi="Calibri" w:eastAsia="Arial" w:cs="Calibri" w:asciiTheme="majorHAnsi" w:cstheme="majorHAnsi" w:hAnsiTheme="majorHAnsi"/>
          <w:b/>
          <w:sz w:val="16"/>
          <w:szCs w:val="16"/>
        </w:rPr>
      </w:pPr>
      <w:r>
        <w:rPr>
          <w:rFonts w:eastAsia="Arial" w:cs="Calibri" w:cstheme="majorHAnsi" w:ascii="Calibri" w:hAnsi="Calibri"/>
          <w:b/>
          <w:sz w:val="16"/>
          <w:szCs w:val="16"/>
        </w:rPr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 w:ascii="Calibri" w:hAnsi="Calibri"/>
          <w:b/>
        </w:rPr>
      </w:r>
    </w:p>
    <w:p>
      <w:pPr>
        <w:pStyle w:val="LO-normal"/>
        <w:shd w:val="clear" w:color="auto" w:fill="D9D9D9" w:themeFill="background1" w:themeFillShade="d9"/>
        <w:spacing w:before="40" w:after="40"/>
        <w:jc w:val="both"/>
        <w:rPr>
          <w:rFonts w:ascii="Calibri" w:hAnsi="Calibri" w:cs="Calibri" w:asciiTheme="majorHAnsi" w:cstheme="majorHAnsi" w:hAnsiTheme="majorHAnsi"/>
          <w:b/>
          <w:color w:val="00B050"/>
        </w:rPr>
      </w:pPr>
      <w:r>
        <w:rPr>
          <w:rFonts w:cs="Calibri" w:ascii="Calibri" w:hAnsi="Calibri" w:asciiTheme="majorHAnsi" w:cstheme="majorHAnsi" w:hAnsiTheme="majorHAnsi"/>
          <w:b/>
        </w:rPr>
        <w:t>15.1 Aprovação da Au</w:t>
      </w:r>
      <w:r>
        <w:rPr>
          <w:rFonts w:cs="Calibri" w:ascii="Calibri" w:hAnsi="Calibri" w:asciiTheme="majorHAnsi" w:cstheme="majorHAnsi" w:hAnsiTheme="majorHAnsi"/>
          <w:b/>
          <w:color w:val="auto"/>
        </w:rPr>
        <w:t>toridade Competente</w:t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color w:val="auto"/>
        </w:rPr>
      </w:pPr>
      <w:r>
        <w:rPr>
          <w:rFonts w:cs="Calibri" w:cstheme="majorHAnsi" w:ascii="Calibri" w:hAnsi="Calibri"/>
          <w:color w:val="auto"/>
        </w:rPr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color w:val="auto"/>
          <w:sz w:val="23"/>
          <w:szCs w:val="23"/>
        </w:rPr>
        <w:t>A Autoridade Competente do In</w:t>
      </w:r>
      <w:r>
        <w:rPr>
          <w:rFonts w:cs="Calibri" w:ascii="Calibri" w:hAnsi="Calibri" w:asciiTheme="majorHAnsi" w:cstheme="majorHAnsi" w:hAnsiTheme="majorHAnsi"/>
          <w:sz w:val="23"/>
          <w:szCs w:val="23"/>
        </w:rPr>
        <w:t>stituto Federal Catarinense – Campus/Reitoria, aprova o presente Estudo Técnico Preliminar.</w:t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 w:ascii="Calibri" w:hAnsi="Calibri"/>
        </w:rPr>
      </w:r>
    </w:p>
    <w:tbl>
      <w:tblPr>
        <w:tblStyle w:val="TableNormal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5"/>
        <w:gridCol w:w="1701"/>
        <w:gridCol w:w="2129"/>
        <w:gridCol w:w="2268"/>
        <w:gridCol w:w="1163"/>
      </w:tblGrid>
      <w:tr>
        <w:trPr>
          <w:trHeight w:val="565" w:hRule="atLeast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CPF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suppressAutoHyphens w:val="true"/>
              <w:spacing w:before="40" w:after="4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Função ou Cargo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O-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iCs/>
                <w:color w:val="00000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b/>
                <w:bCs/>
                <w:iCs/>
                <w:color w:val="000000"/>
                <w:kern w:val="0"/>
                <w:sz w:val="24"/>
                <w:szCs w:val="24"/>
                <w:lang w:val="pt-BR" w:eastAsia="zh-CN" w:bidi="hi-IN"/>
              </w:rPr>
              <w:t>SIAPE</w:t>
            </w:r>
          </w:p>
        </w:tc>
      </w:tr>
      <w:tr>
        <w:trPr/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completo, sem ocultar números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uppressAutoHyphens w:val="true"/>
              <w:spacing w:before="40" w:after="4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preferencialmente a função, caso não possua, informar o cargo.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40" w:after="40"/>
              <w:ind w:hanging="0" w:left="0"/>
              <w:jc w:val="left"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Liberation Serif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Preencher completo</w:t>
            </w:r>
          </w:p>
        </w:tc>
      </w:tr>
    </w:tbl>
    <w:p>
      <w:pPr>
        <w:pStyle w:val="LO-normal"/>
        <w:spacing w:before="40" w:after="40"/>
        <w:jc w:val="both"/>
        <w:rPr>
          <w:rFonts w:ascii="Calibri" w:hAnsi="Calibri" w:eastAsia="Arial" w:cs="Calibri" w:asciiTheme="majorHAnsi" w:cstheme="majorHAnsi" w:hAnsiTheme="majorHAnsi"/>
          <w:b/>
          <w:sz w:val="16"/>
          <w:szCs w:val="16"/>
        </w:rPr>
      </w:pPr>
      <w:r>
        <w:rPr>
          <w:rFonts w:eastAsia="Arial" w:cs="Calibri" w:cstheme="majorHAnsi" w:ascii="Calibri" w:hAnsi="Calibri"/>
          <w:b/>
          <w:sz w:val="16"/>
          <w:szCs w:val="16"/>
        </w:rPr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b/>
          <w:color w:val="EE0000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b/>
          <w:color w:val="EE0000"/>
          <w:sz w:val="23"/>
          <w:szCs w:val="23"/>
        </w:rPr>
        <w:t xml:space="preserve">Observação: </w:t>
      </w:r>
      <w:r>
        <w:rPr>
          <w:rFonts w:cs="Calibri" w:ascii="Calibri" w:hAnsi="Calibri" w:asciiTheme="majorHAnsi" w:cstheme="majorHAnsi" w:hAnsiTheme="majorHAnsi"/>
          <w:bCs/>
          <w:sz w:val="23"/>
          <w:szCs w:val="23"/>
        </w:rPr>
        <w:t xml:space="preserve">A autoridade competente é o </w:t>
      </w:r>
      <w:r>
        <w:rPr>
          <w:rFonts w:cs="Calibri" w:ascii="Calibri" w:hAnsi="Calibri" w:asciiTheme="majorHAnsi" w:cstheme="majorHAnsi" w:hAnsiTheme="majorHAnsi"/>
          <w:b/>
          <w:sz w:val="23"/>
          <w:szCs w:val="23"/>
        </w:rPr>
        <w:t>DAP</w:t>
      </w:r>
      <w:r>
        <w:rPr>
          <w:rFonts w:cs="Calibri" w:ascii="Calibri" w:hAnsi="Calibri" w:asciiTheme="majorHAnsi" w:cstheme="majorHAnsi" w:hAnsiTheme="majorHAnsi"/>
          <w:bCs/>
          <w:sz w:val="23"/>
          <w:szCs w:val="23"/>
        </w:rPr>
        <w:t xml:space="preserve">, </w:t>
      </w:r>
      <w:r>
        <w:rPr>
          <w:rFonts w:cs="Calibri" w:ascii="Calibri" w:hAnsi="Calibri" w:asciiTheme="majorHAnsi" w:cstheme="majorHAnsi" w:hAnsiTheme="majorHAnsi"/>
          <w:b/>
          <w:sz w:val="23"/>
          <w:szCs w:val="23"/>
        </w:rPr>
        <w:t>DEPE</w:t>
      </w:r>
      <w:r>
        <w:rPr>
          <w:rFonts w:cs="Calibri" w:ascii="Calibri" w:hAnsi="Calibri" w:asciiTheme="majorHAnsi" w:cstheme="majorHAnsi" w:hAnsiTheme="majorHAnsi"/>
          <w:bCs/>
          <w:sz w:val="23"/>
          <w:szCs w:val="23"/>
        </w:rPr>
        <w:t xml:space="preserve"> ou </w:t>
      </w:r>
      <w:r>
        <w:rPr>
          <w:rFonts w:cs="Calibri" w:ascii="Calibri" w:hAnsi="Calibri" w:asciiTheme="majorHAnsi" w:cstheme="majorHAnsi" w:hAnsiTheme="majorHAnsi"/>
          <w:b/>
          <w:sz w:val="23"/>
          <w:szCs w:val="23"/>
        </w:rPr>
        <w:t>DIP</w:t>
      </w:r>
      <w:r>
        <w:rPr>
          <w:rFonts w:cs="Calibri" w:ascii="Calibri" w:hAnsi="Calibri" w:asciiTheme="majorHAnsi" w:cstheme="majorHAnsi" w:hAnsiTheme="majorHAnsi"/>
          <w:bCs/>
          <w:sz w:val="23"/>
          <w:szCs w:val="23"/>
        </w:rPr>
        <w:t xml:space="preserve"> a depender de qual o setor o requisitante está vinculado.</w:t>
      </w:r>
      <w:r>
        <w:rPr>
          <w:rFonts w:cs="Calibri" w:ascii="Calibri" w:hAnsi="Calibri" w:asciiTheme="majorHAnsi" w:cstheme="majorHAnsi" w:hAnsiTheme="majorHAnsi"/>
          <w:b/>
          <w:color w:val="EE0000"/>
          <w:sz w:val="23"/>
          <w:szCs w:val="23"/>
        </w:rPr>
        <w:t xml:space="preserve"> </w:t>
      </w:r>
    </w:p>
    <w:p>
      <w:pPr>
        <w:pStyle w:val="LO-normal"/>
        <w:spacing w:before="40" w:after="40"/>
        <w:jc w:val="both"/>
        <w:rPr>
          <w:rFonts w:ascii="Calibri" w:hAnsi="Calibri" w:eastAsia="Arial" w:cs="Calibri" w:asciiTheme="majorHAnsi" w:cstheme="majorHAnsi" w:hAnsiTheme="majorHAnsi"/>
          <w:b/>
          <w:sz w:val="23"/>
          <w:szCs w:val="23"/>
        </w:rPr>
      </w:pPr>
      <w:r>
        <w:rPr>
          <w:rFonts w:eastAsia="Arial" w:cs="Calibri" w:cstheme="majorHAnsi" w:ascii="Calibri" w:hAnsi="Calibri"/>
          <w:b/>
          <w:sz w:val="23"/>
          <w:szCs w:val="23"/>
        </w:rPr>
      </w:r>
    </w:p>
    <w:p>
      <w:pPr>
        <w:pStyle w:val="LO-normal"/>
        <w:spacing w:before="40" w:after="40"/>
        <w:jc w:val="both"/>
        <w:rPr>
          <w:rFonts w:ascii="Calibri" w:hAnsi="Calibri" w:cs="Calibri" w:asciiTheme="majorHAnsi" w:cstheme="majorHAnsi" w:hAnsiTheme="majorHAnsi"/>
          <w:b/>
          <w:color w:val="FF0000"/>
          <w:sz w:val="23"/>
          <w:szCs w:val="23"/>
        </w:rPr>
      </w:pPr>
      <w:r>
        <w:rPr>
          <w:rFonts w:cs="Calibri" w:ascii="Calibri" w:hAnsi="Calibri" w:asciiTheme="majorHAnsi" w:cstheme="majorHAnsi" w:hAnsiTheme="majorHAnsi"/>
          <w:b/>
          <w:color w:val="FF0000"/>
          <w:sz w:val="23"/>
          <w:szCs w:val="23"/>
        </w:rPr>
        <w:t xml:space="preserve">Assinam o documento os responsáveis indicados no item 15 e autoridade competente indicada no item 15.1. </w:t>
      </w:r>
    </w:p>
    <w:p>
      <w:pPr>
        <w:pStyle w:val="LO-normal"/>
        <w:spacing w:before="40" w:after="40"/>
        <w:jc w:val="both"/>
        <w:rPr>
          <w:rFonts w:ascii="Calibri" w:hAnsi="Calibri" w:eastAsia="Arial" w:cs="Calibri" w:asciiTheme="majorHAnsi" w:cstheme="majorHAnsi" w:hAnsiTheme="majorHAnsi"/>
          <w:b/>
          <w:sz w:val="16"/>
          <w:szCs w:val="16"/>
        </w:rPr>
      </w:pPr>
      <w:r>
        <w:rPr>
          <w:rFonts w:eastAsia="Arial" w:cs="Calibri" w:cstheme="majorHAnsi" w:ascii="Calibri" w:hAnsi="Calibri"/>
          <w:b/>
          <w:sz w:val="16"/>
          <w:szCs w:val="16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8" w:right="1134" w:gutter="0" w:header="851" w:top="1701" w:footer="851" w:bottom="113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pranq eco san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rPr/>
    </w:pPr>
    <w:r>
      <w:rPr/>
    </w:r>
  </w:p>
  <w:tbl>
    <w:tblPr>
      <w:tblStyle w:val="TableNormal"/>
      <w:tblW w:w="9519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855"/>
      <w:gridCol w:w="5663"/>
    </w:tblGrid>
    <w:tr>
      <w:trPr/>
      <w:tc>
        <w:tcPr>
          <w:tcW w:w="3855" w:type="dxa"/>
          <w:tcBorders/>
        </w:tcPr>
        <w:p>
          <w:pPr>
            <w:pStyle w:val="LO-normal"/>
            <w:suppressAutoHyphens w:val="true"/>
            <w:spacing w:before="0" w:after="0"/>
            <w:jc w:val="left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37465</wp:posOffset>
                </wp:positionH>
                <wp:positionV relativeFrom="paragraph">
                  <wp:posOffset>26670</wp:posOffset>
                </wp:positionV>
                <wp:extent cx="1670685" cy="518795"/>
                <wp:effectExtent l="0" t="0" r="0" b="0"/>
                <wp:wrapSquare wrapText="bothSides"/>
                <wp:docPr id="3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5" t="-165" r="-55" b="-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3" w:type="dxa"/>
          <w:tcBorders/>
        </w:tcPr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pt-BR" w:eastAsia="zh-CN" w:bidi="hi-IN"/>
            </w:rPr>
            <w:t>Comissão de padronização dos processos de aquisições do IFC.</w:t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pt-BR" w:eastAsia="zh-CN" w:bidi="hi-IN"/>
            </w:rPr>
            <w:t>Portaria IFC/Reitoria nº XX/2025-PROAD/IFC, de XX/2025.</w:t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bCs/>
              <w:sz w:val="16"/>
              <w:szCs w:val="16"/>
            </w:rPr>
          </w:pPr>
          <w:r>
            <w:rPr>
              <w:rFonts w:eastAsia="Arial" w:cs="Arial" w:ascii="Arial" w:hAnsi="Arial"/>
              <w:bCs/>
              <w:kern w:val="0"/>
              <w:sz w:val="16"/>
              <w:szCs w:val="16"/>
              <w:lang w:val="pt-BR" w:eastAsia="zh-CN" w:bidi="hi-IN"/>
            </w:rPr>
            <w:t>Atualização: setembro/2025</w:t>
          </w:r>
        </w:p>
      </w:tc>
    </w:tr>
  </w:tbl>
  <w:p>
    <w:pPr>
      <w:pStyle w:val="LO-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rPr/>
    </w:pPr>
    <w:r>
      <w:rPr/>
    </w:r>
  </w:p>
  <w:tbl>
    <w:tblPr>
      <w:tblStyle w:val="TableNormal"/>
      <w:tblW w:w="9519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855"/>
      <w:gridCol w:w="5663"/>
    </w:tblGrid>
    <w:tr>
      <w:trPr/>
      <w:tc>
        <w:tcPr>
          <w:tcW w:w="3855" w:type="dxa"/>
          <w:tcBorders/>
        </w:tcPr>
        <w:p>
          <w:pPr>
            <w:pStyle w:val="LO-normal"/>
            <w:suppressAutoHyphens w:val="true"/>
            <w:spacing w:before="0" w:after="0"/>
            <w:jc w:val="left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37465</wp:posOffset>
                </wp:positionH>
                <wp:positionV relativeFrom="paragraph">
                  <wp:posOffset>26670</wp:posOffset>
                </wp:positionV>
                <wp:extent cx="1670685" cy="518795"/>
                <wp:effectExtent l="0" t="0" r="0" b="0"/>
                <wp:wrapSquare wrapText="bothSides"/>
                <wp:docPr id="4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5" t="-165" r="-55" b="-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3" w:type="dxa"/>
          <w:tcBorders/>
        </w:tcPr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pt-BR" w:eastAsia="zh-CN" w:bidi="hi-IN"/>
            </w:rPr>
            <w:t>Comissão de padronização dos processos de aquisições do IFC.</w:t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pt-BR" w:eastAsia="zh-CN" w:bidi="hi-IN"/>
            </w:rPr>
            <w:t>Portaria IFC/Reitoria nº XX/2025-PROAD/IFC, de XX/2025.</w:t>
          </w:r>
        </w:p>
        <w:p>
          <w:pPr>
            <w:pStyle w:val="LO-normal"/>
            <w:suppressAutoHyphens w:val="true"/>
            <w:spacing w:before="0" w:after="0"/>
            <w:jc w:val="both"/>
            <w:rPr>
              <w:rFonts w:ascii="Arial" w:hAnsi="Arial" w:eastAsia="Arial" w:cs="Arial"/>
              <w:bCs/>
              <w:sz w:val="16"/>
              <w:szCs w:val="16"/>
            </w:rPr>
          </w:pPr>
          <w:r>
            <w:rPr>
              <w:rFonts w:eastAsia="Arial" w:cs="Arial" w:ascii="Arial" w:hAnsi="Arial"/>
              <w:bCs/>
              <w:kern w:val="0"/>
              <w:sz w:val="16"/>
              <w:szCs w:val="16"/>
              <w:lang w:val="pt-BR" w:eastAsia="zh-CN" w:bidi="hi-IN"/>
            </w:rPr>
            <w:t>Atualização: setembro/2025</w:t>
          </w:r>
        </w:p>
      </w:tc>
    </w:tr>
  </w:tbl>
  <w:p>
    <w:pPr>
      <w:pStyle w:val="LO-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2624455</wp:posOffset>
          </wp:positionH>
          <wp:positionV relativeFrom="paragraph">
            <wp:posOffset>635</wp:posOffset>
          </wp:positionV>
          <wp:extent cx="717550" cy="7340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Ministério da Educação</w:t>
    </w:r>
  </w:p>
  <w:p>
    <w:pPr>
      <w:pStyle w:val="LO-normal"/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Secretaria de Educação Profissional e Tecnológica</w:t>
    </w:r>
  </w:p>
  <w:p>
    <w:pPr>
      <w:pStyle w:val="LO-normal"/>
      <w:pBdr>
        <w:bottom w:val="single" w:sz="8" w:space="2" w:color="000000"/>
      </w:pBdr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Instituto Federal Catarinense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2624455</wp:posOffset>
          </wp:positionH>
          <wp:positionV relativeFrom="paragraph">
            <wp:posOffset>635</wp:posOffset>
          </wp:positionV>
          <wp:extent cx="717550" cy="7340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rFonts w:ascii="Spranq eco sans" w:hAnsi="Spranq eco sans" w:eastAsia="Spranq eco sans" w:cs="Spranq eco sans"/>
        <w:color w:val="000000"/>
        <w:sz w:val="22"/>
        <w:szCs w:val="22"/>
      </w:rPr>
    </w:pPr>
    <w:r>
      <w:rPr>
        <w:rFonts w:eastAsia="Spranq eco sans" w:cs="Spranq eco sans" w:ascii="Spranq eco sans" w:hAnsi="Spranq eco sans"/>
        <w:color w:val="000000"/>
        <w:sz w:val="22"/>
        <w:szCs w:val="22"/>
      </w:rPr>
    </w:r>
  </w:p>
  <w:p>
    <w:pPr>
      <w:pStyle w:val="LO-normal"/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Ministério da Educação</w:t>
    </w:r>
  </w:p>
  <w:p>
    <w:pPr>
      <w:pStyle w:val="LO-normal"/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Secretaria de Educação Profissional e Tecnológica</w:t>
    </w:r>
  </w:p>
  <w:p>
    <w:pPr>
      <w:pStyle w:val="LO-normal"/>
      <w:pBdr>
        <w:bottom w:val="single" w:sz="8" w:space="2" w:color="000000"/>
      </w:pBdr>
      <w:spacing w:lineRule="auto" w:line="288"/>
      <w:jc w:val="center"/>
      <w:rPr>
        <w:color w:val="000000"/>
      </w:rPr>
    </w:pPr>
    <w:r>
      <w:rPr>
        <w:rFonts w:eastAsia="Arial" w:cs="Arial" w:ascii="Arial" w:hAnsi="Arial"/>
        <w:color w:val="000000"/>
        <w:sz w:val="22"/>
        <w:szCs w:val="22"/>
      </w:rPr>
      <w:t>Instituto Federal Catarinense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b/>
        <w:szCs w:val="20"/>
        <w:highlight w:val="yellow"/>
        <w:rFonts w:eastAsia="Arial" w:cs="Arial"/>
        <w:color w:val="00000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0ee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188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8f188c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f188c"/>
    <w:rPr>
      <w:rFonts w:cs="Mangal"/>
      <w:b/>
      <w:bCs/>
      <w:sz w:val="20"/>
      <w:szCs w:val="18"/>
    </w:rPr>
  </w:style>
  <w:style w:type="character" w:styleId="InternetLink">
    <w:name w:val="Internet Link"/>
    <w:basedOn w:val="DefaultParagraphFont"/>
    <w:uiPriority w:val="99"/>
    <w:unhideWhenUsed/>
    <w:qFormat/>
    <w:rsid w:val="00455c4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5c4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f7881"/>
    <w:rPr>
      <w:color w:themeColor="followedHyperlink" w:val="8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TextodecomentrioChar"/>
    <w:uiPriority w:val="99"/>
    <w:unhideWhenUsed/>
    <w:rsid w:val="008f188c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f188c"/>
    <w:pPr/>
    <w:rPr>
      <w:b/>
      <w:bCs/>
    </w:rPr>
  </w:style>
  <w:style w:type="paragraph" w:styleId="ListParagraph">
    <w:name w:val="List Paragraph"/>
    <w:basedOn w:val="Normal"/>
    <w:uiPriority w:val="34"/>
    <w:qFormat/>
    <w:rsid w:val="00ca7b31"/>
    <w:pPr>
      <w:spacing w:before="0" w:after="0"/>
      <w:ind w:left="720"/>
      <w:contextualSpacing/>
    </w:pPr>
    <w:rPr>
      <w:rFonts w:cs="Mangal"/>
      <w:szCs w:val="21"/>
    </w:rPr>
  </w:style>
  <w:style w:type="paragraph" w:styleId="Revision">
    <w:name w:val="Revision"/>
    <w:uiPriority w:val="99"/>
    <w:semiHidden/>
    <w:qFormat/>
    <w:rsid w:val="00ef5726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Liberation Serif" w:cs="Mangal"/>
      <w:color w:val="auto"/>
      <w:kern w:val="0"/>
      <w:sz w:val="24"/>
      <w:szCs w:val="21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fc.edu.br/wp-content/uploads/2025/01/IFC_PDI_2024-2028_23.01.2025.pdf" TargetMode="External"/><Relationship Id="rId3" Type="http://schemas.openxmlformats.org/officeDocument/2006/relationships/hyperlink" Target="https://portariasnormativas.ifc.edu.br/wp-content/uploads/sites/72/2024/01/Anexo-Portaria-Normativa-2.pdf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www.gov.br/agu/pt-br/composicao/cgu/cgu/cartasecartilhas/cartilha-como-inerir-criterios-de-sustentabilidade-nas-contratacoes-publicas.pdf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LibreOffice/24.2.4.2$Windows_X86_64 LibreOffice_project/51a6219feb6075d9a4c46691dcfe0cd9c4fff3c2</Application>
  <AppVersion>15.0000</AppVersion>
  <Pages>11</Pages>
  <Words>2479</Words>
  <Characters>15316</Characters>
  <CharactersWithSpaces>17600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2025-08-27T20:10:00Z</dcterms:created>
  <dc:creator>Paulo Roberto da Silva</dc:creator>
  <dc:description/>
  <dc:language>pt-BR</dc:language>
  <cp:lastModifiedBy/>
  <dcterms:modified xsi:type="dcterms:W3CDTF">2025-10-10T09:37:10Z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