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CHECK LIST PREGOEIRO – FASE INTERNA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8.0" w:type="dxa"/>
        <w:jc w:val="left"/>
        <w:tblInd w:w="-108.0" w:type="dxa"/>
        <w:tblLayout w:type="fixed"/>
        <w:tblLook w:val="0000"/>
      </w:tblPr>
      <w:tblGrid>
        <w:gridCol w:w="5655"/>
        <w:gridCol w:w="1365"/>
        <w:gridCol w:w="1245"/>
        <w:gridCol w:w="1073"/>
        <w:tblGridChange w:id="0">
          <w:tblGrid>
            <w:gridCol w:w="5655"/>
            <w:gridCol w:w="1365"/>
            <w:gridCol w:w="1245"/>
            <w:gridCol w:w="1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3">
            <w:pPr>
              <w:ind w:left="72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ATOS ADMINISTRATIVOS E DOCUMENTOS A SEREM VERIFICADOS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SIM, NÃO, 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OBS.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7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1. O procedimento licitatório foi iniciado com a abertura de processo administrativo devidamente autuado e numerado, quando processo físico, ou registrado quando processo eletrônico?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A">
            <w:pPr>
              <w:ind w:left="0" w:right="94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B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2. Consta a solicitação/requisição do objeto, elaborada pelo agente ou setor competente?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0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3. Encontra-se prevista a exigência de amostra ou prova de conceito para algum item?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3.1 A exigência está clara, precisa e acompanhada de metodologia de análise?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3.2 A exigência está prevista na fase de aceitação, após a etapa de lances, e apenas para o vencedor?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4. A autoridade competente da unidade demandante justificou a necessidade da contratação e aprovou o Termo de Referência?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1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5. A autoridade competente da unidade demandante definiu o objeto do certame de forma precisa, suficiente e clara?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3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 Há autorização da autoridade competente permitindo o início do procedimento licitatório?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7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 A autoridade competente designou o pregoeiro e a respectiva equipe de apoio?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7.1 A equipe de apoio é formada, na sua maioria, por servidores ocupantes de cargo efetivo ou emprego público, preferencialmente, na entidade promotora da licitação?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2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No caso de licitação para registro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preços, a Administração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realizou o procedimento de Intenção de Registro de Preços – IRP, visando o registro e a divulgação dos itens a serem licitados?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8.1 No caso de dispensa da divulgação da Intenção de Registro de Preços – IRP, há justificativa do órgão gerenciador?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8.2 No caso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existirem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órgãos ou entidades participantes, a Administração consolidou as informações relativas à estimativa individual e total de consumo, promovendo a adequação dos respectivos termos de referência encaminhados para atender aos requisitos de padronização e racionalização?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8.3 A Administração confirmou junto aos órgãos ou entidades participantes a sua concordância com o objeto a ser licitado, inclusive quanto aos quantitativos, preços estimados e termo de referência?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3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 Foi realizada ampla pesquisa de preços do objeto da licitação baseada em critérios aceitáveis na forma prevista na IN SEGES/ME nº 65, de 07 de julho de 2021?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9.1 Tratando-se de serviço, existe orçamento detalhado em planilhas que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expressem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a composição de todos os seus custos unitários baseado em pesquisa de preços praticados no mercado do ramo do objeto da contratação?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9.2 Para fins de orçamentação e análise de vantajosidade nas licitações de bens e serviços, foram priorizados os parâmetros previstos nos incisos I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sistemas oficiais de governo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) e II (contratações similares de outros entes públicos) do art. 5°, § 1º, 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 SEGES/ME nº 65, de 07 de julho de 2021?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B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10. O procedimento licitatório possui a indicação do recurso próprio para a despesa, caso não seja SRP?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4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 Há minuta de edital e anexos?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11.1 termo de referência;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7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11.2 contrato ou documento assemelhado;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11.3 ata de registro de preços, se for o caso;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5F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11.4 planilha de quantitativos e custos unitários, se for o caso (serviço).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3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12. No caso de realizada a licitação por pregão presencial, consta a justificativa válida quanto à inviabilidade de utilizar-se o formato eletrônico?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7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13. O edital prevê a forma de apresentação da proposta comercial, com a indicação precisa de como o valor deve ser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ofertado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(total ou por item), incluindo, caso necessário, a apresentação da planilha de custos?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B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14. O Edital estabelece prazo razoável de validade das propostas comerciais compatível com a duração do certame e dentro dos prazos previstos na legislação vigente?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6F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15. O edital fixa o prazo de envio de documentos complementares à habilitação mínimo 120 minutos, pela ferramenta de convocação de anexo?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3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16. Foram consultados os decretos que dispõem sobre margem de preferência?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7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17. Foi prevista a aplicação dos benefícios dispostos nos arts. 42 a 49 da Lei Complementar 123, de 14 de dezembro de 2006, e seu regulamento, o Decreto nº 8.538, de 6 de outubro de 2015?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B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18. Os autos foram instruídos com parecer jurídico?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7F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18.1 Houve alteração sugerida pela assessoria jurídica, bem como o retorno dos autos para parecer conclusivo, caso aquela tenha requerido?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284"/>
              </w:tabs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3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18.2 Houve algum ponto em que não foi aceita a recomendação da assessoria jurídica com a devida justificativa para tanto?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7">
            <w:pPr>
              <w:ind w:right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19. O prazo definido para publicação é adequado ao objeto da licitação, considerando a complexidade do objeto, em respeito aos princípios da publicidade e da transparência?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6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B">
            <w:pPr>
              <w:numPr>
                <w:ilvl w:val="1"/>
                <w:numId w:val="1"/>
              </w:numPr>
              <w:ind w:left="567" w:right="0" w:hanging="283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19.1 Quanto ao âmbito de publicação houve obediência ao disposto no art.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Lei 14.133, de 01 de abril de 2021?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</w:tcBorders>
            <w:shd w:fill="e6eed5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00" w:space="0" w:sz="8" w:val="single"/>
              <w:left w:color="808000" w:space="0" w:sz="8" w:val="single"/>
              <w:bottom w:color="808000" w:space="0" w:sz="8" w:val="single"/>
              <w:right w:color="808000" w:space="0" w:sz="8" w:val="single"/>
            </w:tcBorders>
            <w:shd w:fill="cdddac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OBSERVAÇÕES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vertAlign w:val="baseline"/>
        </w:rPr>
      </w:pPr>
      <w:commentRangeStart w:id="0"/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01 –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02 –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(...)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Local, SC, xx de xxxxxxx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commentRangeStart w:id="1"/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Pregoeiro: Nome,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Equipe de Apoio: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Nome, Siape (…)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Comissão de Contratação: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baseline"/>
          <w:rtl w:val="0"/>
        </w:rPr>
        <w:t xml:space="preserve">Nome, Siape (…)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3333"/>
          <w:sz w:val="20"/>
          <w:szCs w:val="20"/>
          <w:highlight w:val="white"/>
          <w:u w:val="single"/>
          <w:vertAlign w:val="baseline"/>
          <w:rtl w:val="0"/>
        </w:rPr>
        <w:t xml:space="preserve">Documento deverá ser assinado eletronicamente no SIPAC pelo Pregoeiro/Agente de Contratação e pela Equipe de Apoio/Comissão de Licitação.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2801" w:top="3005" w:left="1701" w:right="850" w:header="850" w:footer="85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utor desconhecido" w:id="1" w:date="2018-09-02T10:30:00Z"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Deverá ser identificado o Pregoeiro e os integrantes da equipe de apoio.</w:t>
      </w:r>
    </w:p>
  </w:comment>
  <w:comment w:author="Autor desconhecido" w:id="0" w:date="2018-09-02T10:32:00Z"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Deverão ser esclarecidas quaisquer observações indicadas no preenchimento do Check List.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pranq eco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5.0" w:type="dxa"/>
      <w:jc w:val="left"/>
      <w:tblInd w:w="-55.0" w:type="dxa"/>
      <w:tblLayout w:type="fixed"/>
      <w:tblLook w:val="0000"/>
    </w:tblPr>
    <w:tblGrid>
      <w:gridCol w:w="3855"/>
      <w:gridCol w:w="5500"/>
      <w:tblGridChange w:id="0">
        <w:tblGrid>
          <w:gridCol w:w="3855"/>
          <w:gridCol w:w="5500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132715</wp:posOffset>
                </wp:positionH>
                <wp:positionV relativeFrom="paragraph">
                  <wp:posOffset>58420</wp:posOffset>
                </wp:positionV>
                <wp:extent cx="1667510" cy="51562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-197" l="-65" r="-65" t="-1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515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A8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Comissão responsável pelos mapeamentos dos fluxos e padronizações dos processos de aquisições do Instituto Federal de Educação, Ciência e Tecnologia Catarinense.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9">
          <w:pPr>
            <w:numPr>
              <w:ilvl w:val="0"/>
              <w:numId w:val="1"/>
            </w:numPr>
            <w:jc w:val="both"/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Portaria IFC/Reitoria nº 32/2022-PROAD/IFC, de 28 de julho de 2022.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A">
          <w:pPr>
            <w:numPr>
              <w:ilvl w:val="0"/>
              <w:numId w:val="1"/>
            </w:numPr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u w:val="single"/>
              <w:rtl w:val="0"/>
            </w:rPr>
            <w:t xml:space="preserve">Atualização: Março/2023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2689225</wp:posOffset>
          </wp:positionH>
          <wp:positionV relativeFrom="paragraph">
            <wp:posOffset>-111759</wp:posOffset>
          </wp:positionV>
          <wp:extent cx="624205" cy="65278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72" l="-1913" r="-1914" t="-1871"/>
                  <a:stretch>
                    <a:fillRect/>
                  </a:stretch>
                </pic:blipFill>
                <pic:spPr>
                  <a:xfrm>
                    <a:off x="0" y="0"/>
                    <a:ext cx="624205" cy="652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Spranq eco sans" w:cs="Spranq eco sans" w:eastAsia="Spranq eco sans" w:hAnsi="Spranq eco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2" w:sz="8" w:val="single"/>
        <w:right w:color="000000" w:space="0" w:sz="0" w:val="none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mallCaps w:val="0"/>
        <w:sz w:val="20"/>
        <w:szCs w:val="20"/>
        <w:highlight w:val="yellow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