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PUBLICAÇÕES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procedimento de Pregão Eletrônico deverá ser divulgado no Comprasnet 4.0, Portal Nacional de Contratações Públicas - PNCP, Diário Oficial da União e jornal diário de grande circulação, nos termos do que dispõe o art. 54 da Lei 14.133/2021, bem como no site institucional.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Documentos dever</w:t>
      </w: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rtl w:val="0"/>
        </w:rPr>
        <w:t xml:space="preserve">ão ser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rtl w:val="0"/>
        </w:rPr>
        <w:t xml:space="preserve">assinados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 eletronicamente no SIPAC pel</w:t>
      </w: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rtl w:val="0"/>
        </w:rPr>
        <w:t xml:space="preserve">o servidor que está procedendo à instrução processual.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Spranq eco sans" w:cs="Spranq eco sans" w:eastAsia="Spranq eco sans" w:hAnsi="Spranq eco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Spranq eco sans" w:cs="Spranq eco sans" w:eastAsia="Spranq eco sans" w:hAnsi="Spranq eco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Spranq eco sans" w:cs="Spranq eco sans" w:eastAsia="Spranq eco sans" w:hAnsi="Spranq eco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Spranq eco sans" w:cs="Spranq eco sans" w:eastAsia="Spranq eco sans" w:hAnsi="Spranq eco sans"/>
          <w:b w:val="0"/>
          <w:i w:val="0"/>
          <w:smallCaps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71320" cy="51943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144" l="-47" r="-47" t="-1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1320" cy="519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17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A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8015" cy="65659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645" l="-1684" r="-1683" t="-1645"/>
                  <a:stretch>
                    <a:fillRect/>
                  </a:stretch>
                </pic:blipFill>
                <pic:spPr>
                  <a:xfrm>
                    <a:off x="0" y="0"/>
                    <a:ext cx="628015" cy="656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