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AUTORIZAÇÃO DE MODALIDADE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Aquisição/Contratação de 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para atender as necessidades do Instituto Federal Catarinense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Campus xxxx/Reitoria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A Autoridade Máxima do Instituto Federal Catarinense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Campus xxxxx/Reitoria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abaixo qualificada, no uso de suas atribuições, declara para os devidos fins que autoriza a execução do certame através da modalidade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Pregão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nos termos da Lei nº 14.133/2021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processo observa, ainda, o que dispõe o Decreto 10.193 de 27/12/2019, o </w:t>
      </w:r>
      <w:r w:rsidDel="00000000" w:rsidR="00000000" w:rsidRPr="00000000">
        <w:rPr>
          <w:rFonts w:ascii="Arial" w:cs="Arial" w:eastAsia="Arial" w:hAnsi="Arial"/>
          <w:sz w:val="20"/>
          <w:szCs w:val="20"/>
          <w:shd w:fill="ea9999" w:val="clear"/>
          <w:rtl w:val="0"/>
        </w:rPr>
        <w:t xml:space="preserve">Decreto xxxxx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 a Portaria Normativa Nº 3/2023 - PROAD/IFC e se encontra em acordo com os limites e instâncias de governança para a contratação de bens e serviços.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57" w:line="288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Dadas as características do objeto da presente contratação, opta-se pela divulgação do orçamento da licitação (valores de referência e máximos aceitáveis) no momento da publicização do edital.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57" w:line="288" w:lineRule="auto"/>
        <w:ind w:firstLine="68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u w:val="single"/>
          <w:rtl w:val="0"/>
        </w:rPr>
        <w:t xml:space="preserve">Se SRP: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57" w:line="288" w:lineRule="auto"/>
        <w:ind w:firstLine="68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57" w:line="288" w:lineRule="auto"/>
        <w:ind w:firstLine="68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Conforme dispõe o art. 40, II, da Lei 14.133/2021, os processos para a aquisição de bens ou contratação de serviços deverão ser processados por meio de sistema de registro de preços, quando pertinente.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57" w:line="288" w:lineRule="auto"/>
        <w:ind w:firstLine="68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57" w:line="288" w:lineRule="auto"/>
        <w:ind w:firstLine="68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Opta-se pela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(não)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divulgação da intenção de preços para participação de outros órgãos na origem, pois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57" w:line="288" w:lineRule="auto"/>
        <w:ind w:firstLine="68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57" w:line="288" w:lineRule="auto"/>
        <w:ind w:firstLine="68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Quanto a permissão para adesões extraordinárias, uma vez que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estas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(não)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serão permitidas.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57" w:line="288" w:lineRule="auto"/>
        <w:ind w:firstLine="68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u w:val="single"/>
          <w:rtl w:val="0"/>
        </w:rPr>
        <w:t xml:space="preserve">Se não SRP: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57" w:line="288" w:lineRule="auto"/>
        <w:ind w:firstLine="68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57" w:line="288" w:lineRule="auto"/>
        <w:ind w:firstLine="68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Conforme dispõe o art. 40, II, da Lei 14.133/2021, os processos para a aquisição de bens ou contratação de serviços deverão ser processados por meio de sistema de registro de preços,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quando pertinente.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Optou-se pela não utilização pelos motivos expostos a seguir: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before="57" w:line="288" w:lineRule="auto"/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Por ser verdade, firmo o presente,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Documento </w:t>
      </w:r>
      <w:r w:rsidDel="00000000" w:rsidR="00000000" w:rsidRPr="00000000">
        <w:rPr>
          <w:rFonts w:ascii="Arial" w:cs="Arial" w:eastAsia="Arial" w:hAnsi="Arial"/>
          <w:b w:val="1"/>
          <w:color w:val="ff3333"/>
          <w:sz w:val="20"/>
          <w:szCs w:val="20"/>
          <w:highlight w:val="white"/>
          <w:u w:val="single"/>
          <w:rtl w:val="0"/>
        </w:rPr>
        <w:t xml:space="preserve">deverá ser assinado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 eletronicamente no SIPAC pela Autoridade Máxima da Unidade.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Spranq eco sans" w:cs="Spranq eco sans" w:eastAsia="Spranq eco sans" w:hAnsi="Spranq eco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Spranq eco sans" w:cs="Spranq eco sans" w:eastAsia="Spranq eco sans" w:hAnsi="Spranq eco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Spranq eco sans" w:cs="Spranq eco sans" w:eastAsia="Spranq eco sans" w:hAnsi="Spranq eco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Spranq eco sans" w:cs="Spranq eco sans" w:eastAsia="Spranq eco sans" w:hAnsi="Spranq eco sans"/>
          <w:b w:val="0"/>
          <w:i w:val="0"/>
          <w:smallCaps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71320" cy="519430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-144" l="-47" r="-47" t="-1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1320" cy="519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2B">
          <w:pPr>
            <w:numPr>
              <w:ilvl w:val="0"/>
              <w:numId w:val="2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numPr>
              <w:ilvl w:val="0"/>
              <w:numId w:val="2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numPr>
              <w:ilvl w:val="0"/>
              <w:numId w:val="2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8015" cy="65659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645" l="-1684" r="-1683" t="-1645"/>
                  <a:stretch>
                    <a:fillRect/>
                  </a:stretch>
                </pic:blipFill>
                <pic:spPr>
                  <a:xfrm>
                    <a:off x="0" y="0"/>
                    <a:ext cx="628015" cy="6565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