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OBSERVÂNCIA AO CATÁLOGO ELETRÔNICO DE PADRONIZAÇÃO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 de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Para a licitação em epígrafe, considerando as peculiaridades do objeto, consultou-se 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Catálogo Eletrônico de Padronização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disponível no link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https://www.gov.br/pncp/pt-br/catalogo-eletronico-de-padronizacao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Não foram encontrados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itens padronizados compatíveis com o objeto deste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procedimento licitatório;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Foram encontrad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os itens xx, xx, xx, cujos documentos serão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adotados neste procedimento licitatório.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Por ser verdade, firmo o presente,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Responsável pela Coordenação de Compras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F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