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NÃO PREVISÃO NO PLANO ANUAL DE CONTRATAÇÕES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responsável pela Coordenação de Compras e a Autoridade Máxima, a despeito do que  dispõe a Lei 14.133/2021, art. 12, VII e § 1º, e art. 18 declaram que o objeto do presente processo não está previsto no Plano Anual de Contratações (PAC), pelas razões expostas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7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Documento deverá ser assinado eletronicamente no SIPAC pelo responsável pela Coordenação de Compras e Licitações e pela Autoridade Máxima.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