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 w:val="false"/>
        <w:numPr>
          <w:ilvl w:val="0"/>
          <w:numId w:val="0"/>
        </w:numPr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commentRangeStart w:id="0"/>
      <w:r>
        <w:rPr>
          <w:rFonts w:eastAsia="Arial" w:cs="Arial" w:ascii="Arial" w:hAnsi="Arial"/>
          <w:b/>
          <w:sz w:val="20"/>
          <w:szCs w:val="20"/>
          <w:u w:val="single"/>
        </w:rPr>
        <w:t xml:space="preserve">MODELO DE DESIGNAÇÃO DE AGENTES DE CONTRATAÇÃO, PREGOEIROS E EQUIPE DE APOIO </w:t>
      </w:r>
      <w:commentRangeEnd w:id="0"/>
      <w:r>
        <w:commentReference w:id="0"/>
      </w: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xxxxx, no uso de sua competência que lhe foi subdelegada pela (Decreto, Portaria Nº xxxx/xxxx de xx/xx/xxxx), nos termos do que dispõem a Lei 14.133/2021, o Decreto nº 11.246/2022, as Instruções Normativas SEGES/ME nº 73/2022 e 02/2023 resolve: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1º Designar os servidores abaixo como os agentes públicos responsáveis pelo desempenho das funções essenciais à contratação - Agentes de Contratação e Pregoeiros - do Campus xxx/ Reitoria: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NOME DO SERVIDOR, ocupante do cargo de xxxxx, Matrícula SIAPE xxxxxxx;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2º Designar os servidores abaixo como Equipe de Apoio - do Campus xxx/ Reitoria: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NOME DO SERVIDOR, ocupante do cargo de xxxxx, Matrícula SIAPE xxxxxxx;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3º Os servidores acima designados não poderão atuar em funções concomitantes em um mesmo processo licitatório.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4º Esta Portaria possui validade de 01 (um) ano.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5º Esta Portaria entra em vigor nesta data.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75565</wp:posOffset>
            </wp:positionH>
            <wp:positionV relativeFrom="paragraph">
              <wp:posOffset>636270</wp:posOffset>
            </wp:positionV>
            <wp:extent cx="1670685" cy="518795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165" r="-55" b="-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ristiane Westphal" w:date="2023-02-16T18:35:09Z" w:initials="">
    <w:p>
      <w:r>
        <w:rPr>
          <w:rFonts w:eastAsia="Segoe UI" w:cs="Tahoma"/>
          <w:lang w:val="en-US" w:eastAsia="en-US" w:bidi="en-US"/>
        </w:rPr>
        <w:t>Nas licitações que envolvam bens ou serviços especiais, o agente de contratação poderá ser substituído por comissão de licitação, nos termos do Decreto nº 11.246/2022. Nestes casos, deverá ser emitida portaria específica para a licitação.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  <w:p>
          <w:pPr>
            <w:pStyle w:val="LOnormal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  <w:tc>
        <w:tcPr>
          <w:tcW w:w="5499" w:type="dxa"/>
          <w:tcBorders/>
          <w:shd w:fill="auto" w:val="clear"/>
        </w:tcPr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Portaria IFC/Reitoria nº </w:t>
          </w:r>
          <w:r>
            <w:rPr>
              <w:rFonts w:eastAsia="Arial" w:cs="Arial" w:ascii="Arial" w:hAnsi="Arial"/>
              <w:sz w:val="16"/>
              <w:szCs w:val="16"/>
            </w:rPr>
            <w:t>32/2022</w:t>
          </w: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>-PROAD/IFC, de 28 de julho de 2022.</w:t>
          </w:r>
        </w:p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 xml:space="preserve">Atualização: </w:t>
          </w: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>Março</w:t>
          </w: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/2023</w:t>
          </w:r>
        </w:p>
      </w:tc>
    </w:tr>
  </w:tbl>
  <w:p>
    <w:pPr>
      <w:pStyle w:val="LOnormal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24535" cy="74168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LOnormal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198</Words>
  <Characters>1124</Characters>
  <CharactersWithSpaces>1309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2023-03-29T15:23:07Z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