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60" w:after="0"/>
        <w:jc w:val="center"/>
        <w:rPr>
          <w:rFonts w:ascii="Arial" w:hAnsi="Arial" w:eastAsia="Arial" w:cs="Arial"/>
          <w:b/>
          <w:b/>
          <w:sz w:val="20"/>
          <w:szCs w:val="20"/>
          <w:u w:val="single"/>
        </w:rPr>
      </w:pPr>
      <w:r>
        <w:rPr>
          <w:rFonts w:eastAsia="Arial" w:cs="Arial" w:ascii="Arial" w:hAnsi="Arial"/>
          <w:b/>
          <w:sz w:val="20"/>
          <w:szCs w:val="20"/>
          <w:u w:val="single"/>
        </w:rPr>
        <w:t>CHECK LIST AGU</w:t>
      </w:r>
    </w:p>
    <w:p>
      <w:pPr>
        <w:pStyle w:val="Normal1"/>
        <w:spacing w:lineRule="auto" w:line="240" w:before="60" w:after="0"/>
        <w:jc w:val="center"/>
        <w:rPr/>
      </w:pPr>
      <w:r>
        <w:rPr/>
      </w:r>
    </w:p>
    <w:p>
      <w:pPr>
        <w:pStyle w:val="Normal1"/>
        <w:spacing w:lineRule="auto" w:line="240" w:before="60" w:after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1. Deve-se utilizar o check list indicado pela Advocacia Geral da União, observando a natureza da compra/serviço objeto da contratação.</w:t>
      </w:r>
    </w:p>
    <w:p>
      <w:pPr>
        <w:pStyle w:val="Normal1"/>
        <w:spacing w:lineRule="auto" w:line="240" w:before="60" w:after="0"/>
        <w:jc w:val="both"/>
        <w:rPr/>
      </w:pPr>
      <w:r>
        <w:rPr/>
      </w:r>
    </w:p>
    <w:p>
      <w:pPr>
        <w:pStyle w:val="Normal1"/>
        <w:spacing w:lineRule="auto" w:line="240" w:before="60" w:after="0"/>
        <w:jc w:val="both"/>
        <w:rPr>
          <w:rFonts w:ascii="Arial" w:hAnsi="Arial" w:eastAsia="Arial" w:cs="Arial"/>
          <w:sz w:val="20"/>
          <w:szCs w:val="20"/>
          <w:u w:val="single"/>
        </w:rPr>
      </w:pPr>
      <w:r>
        <w:rPr>
          <w:rFonts w:eastAsia="Arial" w:cs="Arial" w:ascii="Arial" w:hAnsi="Arial"/>
          <w:sz w:val="20"/>
          <w:szCs w:val="20"/>
        </w:rPr>
        <w:t>2. Os modelos devem ser retirados diretamente da página da AGU:</w:t>
      </w:r>
      <w:hyperlink r:id="rId2">
        <w:r>
          <w:rPr>
            <w:rFonts w:eastAsia="Arial" w:cs="Arial" w:ascii="Arial" w:hAnsi="Arial"/>
            <w:sz w:val="20"/>
            <w:szCs w:val="20"/>
          </w:rPr>
          <w:t xml:space="preserve"> </w:t>
        </w:r>
      </w:hyperlink>
      <w:r>
        <w:rPr>
          <w:rFonts w:eastAsia="Arial" w:cs="Arial" w:ascii="Arial" w:hAnsi="Arial"/>
          <w:sz w:val="20"/>
          <w:szCs w:val="20"/>
          <w:u w:val="single"/>
        </w:rPr>
        <w:t>https://www.gov.br/agu/pt-br/composicao/cgu/cgu/modelos/licitacoesecontratos</w:t>
      </w:r>
    </w:p>
    <w:p>
      <w:pPr>
        <w:pStyle w:val="Normal1"/>
        <w:spacing w:lineRule="auto" w:line="240" w:before="60" w:after="0"/>
        <w:ind w:left="720" w:hanging="0"/>
        <w:jc w:val="right"/>
        <w:rPr/>
      </w:pPr>
      <w:r>
        <w:rPr/>
      </w:r>
    </w:p>
    <w:p>
      <w:pPr>
        <w:pStyle w:val="Normal1"/>
        <w:spacing w:lineRule="auto" w:line="240" w:before="60" w:after="0"/>
        <w:jc w:val="both"/>
        <w:rPr>
          <w:rFonts w:ascii="Arial" w:hAnsi="Arial" w:eastAsia="Arial" w:cs="Arial"/>
          <w:b/>
          <w:b/>
          <w:color w:val="FF3333"/>
          <w:sz w:val="20"/>
          <w:szCs w:val="20"/>
          <w:u w:val="single"/>
        </w:rPr>
      </w:pPr>
      <w:r>
        <w:rPr>
          <w:rFonts w:eastAsia="Arial" w:cs="Arial" w:ascii="Arial" w:hAnsi="Arial"/>
          <w:b/>
          <w:color w:val="FF3333"/>
          <w:sz w:val="20"/>
          <w:szCs w:val="20"/>
          <w:u w:val="single"/>
        </w:rPr>
        <w:t>Documento deverá assinado eletronicamente no SIPAC pelo responsável pela Coordenação de Compras.</w:t>
      </w:r>
    </w:p>
    <w:p>
      <w:pPr>
        <w:pStyle w:val="Normal1"/>
        <w:spacing w:lineRule="auto" w:line="240" w:before="60" w:after="0"/>
        <w:jc w:val="both"/>
        <w:rPr>
          <w:rFonts w:ascii="Arial" w:hAnsi="Arial" w:eastAsia="Arial" w:cs="Arial"/>
          <w:b/>
          <w:b/>
          <w:color w:val="FF3333"/>
          <w:sz w:val="20"/>
          <w:szCs w:val="20"/>
          <w:u w:val="single"/>
        </w:rPr>
      </w:pPr>
      <w:r>
        <w:rPr>
          <w:rFonts w:eastAsia="Arial" w:cs="Arial" w:ascii="Arial" w:hAnsi="Arial"/>
          <w:b/>
          <w:color w:val="FF3333"/>
          <w:sz w:val="20"/>
          <w:szCs w:val="20"/>
          <w:u w:val="single"/>
        </w:rPr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850" w:gutter="0" w:header="850" w:top="3005" w:footer="850" w:bottom="28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Spranq eco 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  <w:tbl>
    <w:tblPr>
      <w:tblStyle w:val="Table1"/>
      <w:tblW w:w="9355" w:type="dxa"/>
      <w:jc w:val="left"/>
      <w:tblInd w:w="-55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855"/>
      <w:gridCol w:w="5499"/>
    </w:tblGrid>
    <w:tr>
      <w:trPr/>
      <w:tc>
        <w:tcPr>
          <w:tcW w:w="3855" w:type="dxa"/>
          <w:tcBorders/>
          <w:shd w:fill="auto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40" w:before="0" w:after="0"/>
            <w:ind w:left="0" w:right="0" w:hanging="0"/>
            <w:jc w:val="left"/>
            <w:rPr>
              <w:rFonts w:ascii="Liberation Serif" w:hAnsi="Liberation Serif" w:eastAsia="Liberation Serif" w:cs="Liberation Serif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Liberation Serif" w:cs="Liberation Serif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132715</wp:posOffset>
                </wp:positionH>
                <wp:positionV relativeFrom="paragraph">
                  <wp:posOffset>58420</wp:posOffset>
                </wp:positionV>
                <wp:extent cx="1664970" cy="513080"/>
                <wp:effectExtent l="0" t="0" r="0" b="0"/>
                <wp:wrapSquare wrapText="bothSides"/>
                <wp:docPr id="2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10" t="-330" r="-110" b="-33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513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99" w:type="dxa"/>
          <w:tcBorders/>
          <w:shd w:fill="auto" w:val="clear"/>
        </w:tcPr>
        <w:p>
          <w:pPr>
            <w:pStyle w:val="Normal1"/>
            <w:widowControl w:val="false"/>
            <w:jc w:val="both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 xml:space="preserve">Comissão responsável pelos mapeamentos dos fluxos e padronizações dos processos de aquisições do Instituto Federal de Educação, Ciência e Tecnologia Catarinense. </w:t>
          </w:r>
        </w:p>
        <w:p>
          <w:pPr>
            <w:pStyle w:val="Normal1"/>
            <w:widowControl w:val="false"/>
            <w:jc w:val="both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>Portaria IFC/Reitoria nº 32/2022-PROAD/IFC, de 28 de julho de 2022.</w:t>
          </w:r>
        </w:p>
        <w:p>
          <w:pPr>
            <w:pStyle w:val="Normal1"/>
            <w:widowControl w:val="false"/>
            <w:pBdr/>
            <w:jc w:val="both"/>
            <w:rPr>
              <w:rFonts w:ascii="Arial" w:hAnsi="Arial" w:eastAsia="Arial" w:cs="Arial"/>
              <w:b/>
              <w:b/>
              <w:sz w:val="16"/>
              <w:szCs w:val="16"/>
              <w:u w:val="single"/>
            </w:rPr>
          </w:pPr>
          <w:r>
            <w:rPr>
              <w:rFonts w:eastAsia="Arial" w:cs="Arial" w:ascii="Arial" w:hAnsi="Arial"/>
              <w:b/>
              <w:sz w:val="16"/>
              <w:szCs w:val="16"/>
              <w:u w:val="single"/>
            </w:rPr>
            <w:t>Atualização: Fevereiro/2023</w:t>
          </w:r>
        </w:p>
      </w:tc>
    </w:tr>
  </w:tbl>
  <w:p>
    <w:pPr>
      <w:pStyle w:val="Normal1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99135" cy="71628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Ministério da Educação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Secretaria de Educação Profissional e Tecnológica</w:t>
    </w:r>
  </w:p>
  <w:p>
    <w:pPr>
      <w:pStyle w:val="Normal1"/>
      <w:keepNext w:val="false"/>
      <w:keepLines w:val="false"/>
      <w:pageBreakBefore w:val="false"/>
      <w:widowControl w:val="false"/>
      <w:pBdr>
        <w:bottom w:val="single" w:sz="8" w:space="2" w:color="000000"/>
      </w:pBdr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Instituto Federal Catarinense</w:t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v.br/agu/pt-br/composicao/consultoria-geral-da-uniao-1/modelos-de-convenios-licitacoes-e-contratos/modelos-de-licitacoes-e-contratos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LibreOffice/7.4.5.1$Windows_X86_64 LibreOffice_project/9c0871452b3918c1019dde9bfac75448afc4b57f</Application>
  <AppVersion>15.0000</AppVersion>
  <Pages>1</Pages>
  <Words>92</Words>
  <Characters>658</Characters>
  <CharactersWithSpaces>741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2023-02-23T11:08:07Z</dcterms:modified>
  <cp:revision>1</cp:revision>
  <dc:subject/>
  <dc:title/>
</cp:coreProperties>
</file>