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88" w:before="57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</w:pPr>
      <w:commentRangeStart w:id="0"/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  <w:t>JUSTIFICATIVA DE NÃO ENVIO PARA EMISSÃO DE PARECER JURÍDICO</w:t>
      </w:r>
      <w:commentRangeEnd w:id="0"/>
      <w:r>
        <w:commentReference w:id="0"/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Objeto: </w:t>
      </w:r>
      <w:commentRangeStart w:id="1"/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Aquisição/Contratação de xxxx para atender as necessidades do Instituto Federal Catarinense – Campus xxxx.</w:t>
      </w:r>
      <w:commentRangeEnd w:id="1"/>
      <w:r>
        <w:commentReference w:id="1"/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</w:r>
    </w:p>
    <w:p>
      <w:pPr>
        <w:pStyle w:val="Normal1"/>
        <w:widowControl w:val="false"/>
        <w:ind w:left="0" w:right="0" w:firstLine="907"/>
        <w:jc w:val="both"/>
        <w:rPr>
          <w:position w:val="0"/>
          <w:sz w:val="24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20"/>
          <w:sz w:val="20"/>
          <w:szCs w:val="20"/>
          <w:u w:val="none"/>
          <w:vertAlign w:val="baseline"/>
        </w:rPr>
        <w:t xml:space="preserve">Conforme Orientação Normativa Nº </w:t>
      </w:r>
      <w:r>
        <w:rPr>
          <w:rFonts w:eastAsia="Arial" w:cs="Arial" w:ascii="Arial" w:hAnsi="Arial"/>
          <w:sz w:val="20"/>
          <w:szCs w:val="20"/>
        </w:rPr>
        <w:t>69/2021</w:t>
      </w:r>
      <w:r>
        <w:rPr>
          <w:rFonts w:eastAsia="Arial" w:cs="Arial" w:ascii="Arial" w:hAnsi="Arial"/>
          <w:b w:val="false"/>
          <w:position w:val="0"/>
          <w:sz w:val="20"/>
          <w:sz w:val="20"/>
          <w:szCs w:val="20"/>
          <w:u w:val="none"/>
          <w:vertAlign w:val="baseline"/>
        </w:rPr>
        <w:t>, de 13 de setembro de 2021, assinada pela Advocacia Geral da União:</w:t>
      </w:r>
    </w:p>
    <w:p>
      <w:pPr>
        <w:pStyle w:val="Normal1"/>
        <w:ind w:left="0" w:right="0" w:hanging="0"/>
        <w:jc w:val="both"/>
        <w:rPr>
          <w:rFonts w:ascii="Arial" w:hAnsi="Arial" w:eastAsia="Arial" w:cs="Arial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Normal1"/>
        <w:widowControl w:val="false"/>
        <w:ind w:left="2268" w:right="0" w:hanging="0"/>
        <w:jc w:val="both"/>
        <w:rPr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“</w:t>
      </w:r>
      <w:r>
        <w:rPr>
          <w:rFonts w:eastAsia="Arial" w:cs="Arial" w:ascii="Arial" w:hAnsi="Arial"/>
          <w:sz w:val="20"/>
          <w:szCs w:val="20"/>
        </w:rPr>
        <w:t>Não é obrigatória manifestação jurídica nas contratações diretas de pequeno valor com fundamento no art. 75, I ou II, e § 3º da Lei nº 14.133, de 1º de abril de 2021, salvo se houver celebração de contrato administrativo e este não for padronizado pelo órgão de assessoramento jurídico, ou nas hipóteses em que o administrador tenha suscitado dúvida a respeito da legalidade da dispensa de licitação. Aplica-se o mesmo entendimento às contratações diretas fundadas no art. 74, da Lei nº 14.133, de 2021, desde que seus valores não ultrapassem os limites previstos nos incisos I e II do art. 75, da Lei nº 14.133, de 2021.</w:t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 xml:space="preserve">” </w:t>
      </w:r>
    </w:p>
    <w:p>
      <w:pPr>
        <w:pStyle w:val="Normal1"/>
        <w:ind w:left="0" w:right="0" w:hanging="0"/>
        <w:jc w:val="both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ind w:left="0" w:right="0" w:hanging="0"/>
        <w:jc w:val="both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ind w:left="0" w:right="0" w:hanging="0"/>
        <w:jc w:val="both"/>
        <w:rPr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ab/>
        <w:t xml:space="preserve">Desta forma, tendo em conta que a situação fática se amolda </w:t>
      </w:r>
      <w:r>
        <w:rPr>
          <w:rFonts w:eastAsia="Arial" w:cs="Arial" w:ascii="Arial" w:hAnsi="Arial"/>
          <w:sz w:val="20"/>
          <w:szCs w:val="20"/>
        </w:rPr>
        <w:t>à regra</w:t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 xml:space="preserve"> alhures citada, dispensa-se o envio deste processo para emissão de Parecer Jurídico.</w:t>
      </w:r>
    </w:p>
    <w:p>
      <w:pPr>
        <w:pStyle w:val="Normal1"/>
        <w:ind w:left="0" w:right="0" w:hanging="0"/>
        <w:jc w:val="both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ind w:left="0" w:right="0" w:hanging="0"/>
        <w:jc w:val="both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ind w:left="0" w:right="0" w:hanging="0"/>
        <w:jc w:val="right"/>
        <w:rPr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Local,xx, xx de xxxxxx de 202x.</w:t>
      </w:r>
    </w:p>
    <w:p>
      <w:pPr>
        <w:pStyle w:val="Normal1"/>
        <w:ind w:left="0" w:right="0" w:hanging="0"/>
        <w:jc w:val="right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ind w:left="0" w:right="0" w:hanging="0"/>
        <w:jc w:val="both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FF3333"/>
          <w:position w:val="0"/>
          <w:sz w:val="20"/>
          <w:sz w:val="20"/>
          <w:szCs w:val="20"/>
          <w:highlight w:val="white"/>
          <w:u w:val="single"/>
          <w:vertAlign w:val="baseline"/>
        </w:rPr>
        <w:t>Documento deverá assinado eletronicamente no SIPAC pela Autoridade Máxima da Unidade.</w:t>
      </w:r>
    </w:p>
    <w:sectPr>
      <w:headerReference w:type="default" r:id="rId2"/>
      <w:footerReference w:type="default" r:id="rId3"/>
      <w:type w:val="nextPage"/>
      <w:pgSz w:w="11906" w:h="16838"/>
      <w:pgMar w:left="1701" w:right="850" w:gutter="0" w:header="850" w:top="3005" w:footer="850" w:bottom="2801"/>
      <w:pgNumType w:start="1" w:fmt="decimal"/>
      <w:formProt w:val="false"/>
      <w:textDirection w:val="lrTb"/>
      <w:docGrid w:type="default" w:linePitch="100" w:charSpace="0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comment w:id="0" w:author="Autor desconhecido" w:date="2018-08-29T19:35:00Z" w:initials="">
    <w:p>
      <w:r>
        <w:rPr>
          <w:rFonts w:eastAsia="Segoe UI" w:cs="Tahoma"/>
          <w:lang w:val="en-US" w:eastAsia="en-US" w:bidi="en-US"/>
        </w:rPr>
        <w:t>Esta Justificativa deve ser inserida aos autos somente se o objeto em questão enquadrar-se nos pressupostos da ON 46/2014. Caso restem dúvidas, o processo deverá ser remetido para análise jurídica para que sejam dirimidas.</w:t>
      </w:r>
    </w:p>
  </w:comment>
  <w:comment w:id="1" w:author="Autor desconhecido" w:date="2018-08-29T19:35:00Z" w:initials="">
    <w:p>
      <w:r>
        <w:rPr>
          <w:rFonts w:eastAsia="Segoe UI" w:cs="Tahoma"/>
          <w:lang w:val="en-US" w:eastAsia="en-US" w:bidi="en-US"/>
        </w:rPr>
        <w:t>Deve-se informar nesse campo o objeto sucinto da aquisição/contratação.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Spranq eco san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76" w:before="0" w:after="0"/>
      <w:ind w:left="0" w:right="0" w:hanging="0"/>
      <w:jc w:val="left"/>
      <w:rPr>
        <w:position w:val="0"/>
        <w:sz w:val="24"/>
        <w:vertAlign w:val="baseline"/>
      </w:rPr>
    </w:pPr>
    <w:r>
      <w:rPr>
        <w:position w:val="0"/>
        <w:sz w:val="24"/>
        <w:vertAlign w:val="baseline"/>
      </w:rPr>
    </w:r>
  </w:p>
  <w:tbl>
    <w:tblPr>
      <w:tblStyle w:val="Table1"/>
      <w:tblW w:w="9355" w:type="dxa"/>
      <w:jc w:val="left"/>
      <w:tblInd w:w="-55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3855"/>
      <w:gridCol w:w="5499"/>
    </w:tblGrid>
    <w:tr>
      <w:trPr/>
      <w:tc>
        <w:tcPr>
          <w:tcW w:w="3855" w:type="dxa"/>
          <w:tcBorders/>
          <w:shd w:fill="auto" w:val="clea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40" w:before="0" w:after="0"/>
            <w:ind w:left="0" w:right="0" w:hanging="0"/>
            <w:jc w:val="left"/>
            <w:rPr>
              <w:rFonts w:ascii="Liberation Serif" w:hAnsi="Liberation Serif" w:eastAsia="Liberation Serif" w:cs="Liberation Serif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pPr>
          <w:r>
            <w:rPr>
              <w:rFonts w:eastAsia="Liberation Serif" w:cs="Liberation Serif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132715</wp:posOffset>
                </wp:positionH>
                <wp:positionV relativeFrom="paragraph">
                  <wp:posOffset>58420</wp:posOffset>
                </wp:positionV>
                <wp:extent cx="1670685" cy="518795"/>
                <wp:effectExtent l="0" t="0" r="0" b="0"/>
                <wp:wrapSquare wrapText="bothSides"/>
                <wp:docPr id="2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55" t="-165" r="-55" b="-16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068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99" w:type="dxa"/>
          <w:tcBorders/>
          <w:shd w:fill="auto" w:val="clear"/>
        </w:tcPr>
        <w:p>
          <w:pPr>
            <w:pStyle w:val="Normal1"/>
            <w:widowControl w:val="false"/>
            <w:jc w:val="both"/>
            <w:rPr>
              <w:rFonts w:ascii="Arial" w:hAnsi="Arial" w:eastAsia="Arial" w:cs="Arial"/>
              <w:sz w:val="16"/>
              <w:szCs w:val="16"/>
            </w:rPr>
          </w:pPr>
          <w:r>
            <w:rPr>
              <w:rFonts w:eastAsia="Arial" w:cs="Arial" w:ascii="Arial" w:hAnsi="Arial"/>
              <w:sz w:val="16"/>
              <w:szCs w:val="16"/>
            </w:rPr>
            <w:t xml:space="preserve">Comissão responsável pelos mapeamentos dos fluxos e padronizações dos processos de aquisições do Instituto Federal de Educação, Ciência e Tecnologia Catarinense. </w:t>
          </w:r>
        </w:p>
        <w:p>
          <w:pPr>
            <w:pStyle w:val="Normal1"/>
            <w:widowControl w:val="false"/>
            <w:jc w:val="both"/>
            <w:rPr>
              <w:rFonts w:ascii="Arial" w:hAnsi="Arial" w:eastAsia="Arial" w:cs="Arial"/>
              <w:sz w:val="16"/>
              <w:szCs w:val="16"/>
            </w:rPr>
          </w:pPr>
          <w:r>
            <w:rPr>
              <w:rFonts w:eastAsia="Arial" w:cs="Arial" w:ascii="Arial" w:hAnsi="Arial"/>
              <w:sz w:val="16"/>
              <w:szCs w:val="16"/>
            </w:rPr>
            <w:t>Portaria IFC/Reitoria nº 32/2022-PROAD/IFC, de 28 de julho de 2022.</w:t>
          </w:r>
        </w:p>
        <w:p>
          <w:pPr>
            <w:pStyle w:val="Normal1"/>
            <w:widowControl w:val="false"/>
            <w:pBdr/>
            <w:jc w:val="both"/>
            <w:rPr>
              <w:rFonts w:ascii="Arial" w:hAnsi="Arial" w:eastAsia="Arial" w:cs="Arial"/>
              <w:b/>
              <w:b/>
              <w:sz w:val="16"/>
              <w:szCs w:val="16"/>
              <w:u w:val="single"/>
            </w:rPr>
          </w:pPr>
          <w:r>
            <w:rPr>
              <w:rFonts w:eastAsia="Arial" w:cs="Arial" w:ascii="Arial" w:hAnsi="Arial"/>
              <w:b/>
              <w:sz w:val="16"/>
              <w:szCs w:val="16"/>
              <w:u w:val="single"/>
            </w:rPr>
            <w:t>Atualização: Fevereiro/2023</w:t>
          </w:r>
        </w:p>
      </w:tc>
    </w:tr>
  </w:tbl>
  <w:p>
    <w:pPr>
      <w:pStyle w:val="Normal1"/>
      <w:rPr>
        <w:position w:val="0"/>
        <w:sz w:val="24"/>
        <w:vertAlign w:val="baseline"/>
      </w:rPr>
    </w:pPr>
    <w:r>
      <w:rPr>
        <w:position w:val="0"/>
        <w:sz w:val="24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0" distT="0" distB="0" distL="0" distR="0" simplePos="0" locked="0" layoutInCell="0" allowOverlap="1" relativeHeight="3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90880" cy="70739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Ministério da Educação</w:t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Secretaria de Educação Profissional e Tecnológica</w:t>
    </w:r>
  </w:p>
  <w:p>
    <w:pPr>
      <w:pStyle w:val="Normal1"/>
      <w:keepNext w:val="false"/>
      <w:keepLines w:val="false"/>
      <w:pageBreakBefore w:val="false"/>
      <w:widowControl w:val="false"/>
      <w:pBdr>
        <w:bottom w:val="single" w:sz="8" w:space="2" w:color="000000"/>
      </w:pBdr>
      <w:shd w:val="clear" w:fill="auto"/>
      <w:spacing w:lineRule="auto" w:line="288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Instituto Federal Catarinense</w:t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comments" Target="comment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LibreOffice/7.4.5.1$Windows_X86_64 LibreOffice_project/9c0871452b3918c1019dde9bfac75448afc4b57f</Application>
  <AppVersion>15.0000</AppVersion>
  <Pages>1</Pages>
  <Words>234</Words>
  <Characters>1305</Characters>
  <CharactersWithSpaces>1530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2023-02-23T11:06:59Z</dcterms:modified>
  <cp:revision>1</cp:revision>
  <dc:subject/>
  <dc:title/>
</cp:coreProperties>
</file>