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ORIENTAÇÕES ORÇAMENTOS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88" w:before="57" w:after="0"/>
        <w:ind w:left="72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Para a coleta de orçamentos que comporão o Mapa de Formação de Preços deverá ser observada a </w:t>
      </w:r>
      <w:hyperlink r:id="rId2">
        <w:r>
          <w:rPr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 xml:space="preserve">Instrução Normativa nº </w:t>
        </w:r>
      </w:hyperlink>
      <w:r>
        <w:rPr>
          <w:rFonts w:eastAsia="Arial" w:cs="Arial" w:ascii="Arial" w:hAnsi="Arial"/>
          <w:sz w:val="20"/>
          <w:szCs w:val="20"/>
        </w:rPr>
        <w:t xml:space="preserve">65/2021, disponível no link: </w:t>
      </w:r>
      <w:hyperlink r:id="rId3">
        <w:r>
          <w:rPr>
            <w:rFonts w:eastAsia="Arial" w:cs="Arial" w:ascii="Arial" w:hAnsi="Arial"/>
            <w:color w:val="1155CC"/>
            <w:sz w:val="20"/>
            <w:szCs w:val="20"/>
            <w:u w:val="single"/>
          </w:rPr>
          <w:t>https://www.gov.br/plataformamaisbrasil/pt-br/legislacao-geral/instrucoes-normativas/instrucao-normativa-seges-me-no-65-de-7-de-julho-de-2021</w:t>
        </w:r>
      </w:hyperlink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0" w:after="14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PONTOS DE ATENÇÃO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88" w:before="57" w:after="0"/>
        <w:ind w:left="72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CE181E"/>
          <w:position w:val="0"/>
          <w:sz w:val="20"/>
          <w:sz w:val="20"/>
          <w:szCs w:val="20"/>
          <w:u w:val="none"/>
          <w:shd w:fill="auto" w:val="clear"/>
          <w:vertAlign w:val="baseline"/>
        </w:rPr>
        <w:t>Recomenda-se a formação de uma cesta de orçamentos, que contemple diferentes fontes (Preços Praticados Com a Administração Pública, Pesquisas de Internet e Com Fornecedores). Com isso espera-se obter preços fidedignos, condizentes com o mercado.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88" w:before="57" w:after="0"/>
        <w:ind w:left="72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E181E"/>
          <w:position w:val="0"/>
          <w:sz w:val="20"/>
          <w:sz w:val="20"/>
          <w:szCs w:val="20"/>
          <w:u w:val="single"/>
          <w:shd w:fill="auto" w:val="clear"/>
          <w:vertAlign w:val="baseline"/>
        </w:rPr>
        <w:t>É imprescindível uma análise criteriosa dos orçamentos obtidos. Os valores não devem ser discrepantes entre si, nem demasiadamente elevados, tampouco baixos. Preços elevados podem, mesmo após a disputa de preços, causar prejuízo ao erário. Já os baixos, podem resultar em itens desertos e fracassados.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CE181E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E181E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88" w:before="57" w:after="0"/>
        <w:ind w:left="72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E181E"/>
          <w:position w:val="0"/>
          <w:sz w:val="20"/>
          <w:sz w:val="20"/>
          <w:szCs w:val="20"/>
          <w:u w:val="single"/>
          <w:shd w:fill="auto" w:val="clear"/>
          <w:vertAlign w:val="baseline"/>
        </w:rPr>
        <w:t>Nos casos de prestação de serviços com dedicação exclusiva de mão-de-obra, quando as pesquisas forem realizadas com base nos incisos I e II, a análise deverá considerar a Planilha de Formação de Preços. As planilhas deverão ser atualizadas considerando o esboço da contratação (carga horária, vale transporte, CCT, etc) e acostadas aos autos como parte da pesquisa de preços.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88" w:before="57" w:after="0"/>
        <w:ind w:left="72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Quando forem utilizados orçamentos da internet, deverão ser observados os seguintes critérios: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Ao utilizar sites de marketplace como Americanas, Submarino e Shoptime</w:t>
      </w:r>
      <w:r>
        <w:rPr>
          <w:rFonts w:eastAsia="Arial" w:cs="Arial" w:ascii="Arial" w:hAnsi="Arial"/>
          <w:sz w:val="20"/>
          <w:szCs w:val="20"/>
        </w:rPr>
        <w:t>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d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everá ser observada qual é a empresa que realmente está ofertando o produto. Pode ser utilizado o intermediador, todavia, não se pode utilizar diferentes intermediadores que utilizem a oferta da mesma empresa.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2384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Prints de tela não servem como orçamento. Para ser válido, deve-se imprimir a tela completa e salvá-la em PDF. O PDF deverá conter: data da pesquisa, endereço do site consultado e todas as páginas geradas, mesmo que não apresentem informações relevantes;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2384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 site deverá possuir CNPJ ou CPF. Normalmente essa informação aparece no final da página. Caso a informação não apareça, pode-se consultar no </w:t>
      </w:r>
      <w:hyperlink r:id="rId4">
        <w:r>
          <w:rPr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>RegistroBR</w:t>
        </w:r>
      </w:hyperlink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 na barra de consulta deve ser informado o endereço do site, sem o www. Caso o proprietário seja Pessoa Jurídica, no campo Documento aparecerá o CNPJ;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2384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Deverão ser consideradas características similares </w:t>
      </w:r>
      <w:r>
        <w:rPr>
          <w:rFonts w:eastAsia="Arial" w:cs="Arial" w:ascii="Arial" w:hAnsi="Arial"/>
          <w:sz w:val="20"/>
          <w:szCs w:val="20"/>
        </w:rPr>
        <w:t>às exigidas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pela Administração: garantia estendida, frete, etc.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2384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88" w:before="57" w:after="0"/>
        <w:ind w:left="72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Quando for utilizada a ferramenta do </w:t>
      </w:r>
      <w:hyperlink r:id="rId5">
        <w:r>
          <w:rPr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>Painel de Preços</w:t>
        </w:r>
      </w:hyperlink>
      <w:r>
        <w:rPr>
          <w:rFonts w:eastAsia="Arial" w:cs="Arial" w:ascii="Arial" w:hAnsi="Arial"/>
          <w:sz w:val="20"/>
          <w:szCs w:val="20"/>
        </w:rPr>
        <w:t>/Pesquisa de Preços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Deve-se analisar os preços individualmente e desconsiderar médias e medianas apresentadas automaticamente pelo sistema;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Recomenda-se, ainda, que as especificações apresentadas no Resultado das pesquisas seja confrontado com os respectivos editais, de modo a conferir a especificação e unidade de medida;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Deve-se observar, também, os quantitativos que contemplam os resultados. Dependendo do objeto, o custo para entregar poucas unidades é maior do que para entregar quantitativos significantes.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88" w:before="57" w:after="0"/>
        <w:ind w:left="72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Outra opção para as pesquisas de preços, que também reflete os preços praticados com a Administração Pública: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Realizar </w:t>
      </w:r>
      <w:hyperlink r:id="rId6">
        <w:r>
          <w:rPr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>Pesquisa Textual em Editais</w:t>
        </w:r>
      </w:hyperlink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no Portal de Compras Governamentais: Informa-se no campo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“Texto/Termos a serem pesquisados”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palavras-chave do item a ser pesquisado. O sistema retornará editais que contenham essas palavras. Deve-se pesquisar o edital, para verificar se o item é condizente com o objeto da pesquisa. Caso reflita o mesmo item que está sendo pesquisado, anota-se o número do Item, do Pregão e a UASG;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Posteriormente, deve-se consultar os documentos gerados pela licitação, na </w:t>
      </w:r>
      <w:hyperlink r:id="rId7">
        <w:r>
          <w:rPr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0"/>
            <w:sz w:val="20"/>
            <w:szCs w:val="20"/>
            <w:u w:val="none"/>
            <w:shd w:fill="auto" w:val="clear"/>
            <w:vertAlign w:val="baseline"/>
          </w:rPr>
          <w:t>Consulta Ata de Pregão</w:t>
        </w:r>
      </w:hyperlink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disponível no Portal de Compras Governamentais. Ali informa-se a UASG e o Número do Pregão, depois, clica-se no número do pregão para então ter acesso aos documentos gerados. No Termo de Homologação, opção Imprimir Relatório, tem-se acesso ao documento na íntegra. Identifica-se o item, e caso esteja como Situação: Homologado, pode ser utilizado como orçamento.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2"/>
          <w:numId w:val="2"/>
        </w:numPr>
        <w:pBdr/>
        <w:shd w:val="clear" w:fill="auto"/>
        <w:spacing w:lineRule="auto" w:line="288" w:before="57" w:after="0"/>
        <w:ind w:left="1984" w:right="0" w:hanging="34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Poderão ser utilizados valores de licitações homologadas há no máximo 1 (um) ano anterior à data de divulgação do instrumento convocatório.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3084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88" w:before="57" w:after="0"/>
        <w:ind w:left="72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Quando for utilizada a opção de pesquisa diretamente com o fornecedor: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0"/>
          <w:szCs w:val="20"/>
        </w:rPr>
        <w:t>Deverão ser consultados NO MÍNIMO 3 (três) fornecedores, mediante solicitação formal de cotação, por meio de ofício ou e-mail, desde que seja apresentada justificativa da escolha desses fornecedores e que não tenham sido obtidos os orçamentos com mais de 6 (seis) meses de antecedência da data de divulgação do edital;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righ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Se a consulta for realizada por e-mail, deverá ser encaminhado o orçamento juntamente ao e-mail recebido do fornecedor;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Se a consulta for realizada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 loco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 os documentos deverão estar assinados e datados pelo fornecedor;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 orçamento deverá conter a proposta (valor unitário e total), já incluindo eventuais despesas com frete e impostos;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Deverá conter os dados da empresa, sendo imprescindível a menção ao CNPJ ou CPF.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spacing w:lineRule="auto" w:line="288" w:before="57" w:after="0"/>
        <w:ind w:left="1080" w:right="0" w:hanging="36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Deverá ser juntado ao processo a cópia dos e-mails enviados a outros fornecedores, que não foram utilizados na composição do preço ou não obtiveram resposta.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  <w:font w:name="Arial">
    <w:charset w:val="01"/>
    <w:family w:val="swiss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0050" cy="518160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2" t="-185" r="-62" b="-1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0715" cy="6553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Spranq eco sans" w:cs="Spranq eco sans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Spranq eco sans" w:cs="Spranq eco sans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Spranq eco sans" w:cs="Spranq eco sans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color w:val="0000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color w:val="00000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color w:val="0000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color w:val="00000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color w:val="0000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.gov.br/en/web/dou/-/instrucao-normativa-n-73-de-5-de-agosto-de-2020-270711836" TargetMode="External"/><Relationship Id="rId3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4" Type="http://schemas.openxmlformats.org/officeDocument/2006/relationships/hyperlink" Target="https://registro.br/2/whois" TargetMode="External"/><Relationship Id="rId5" Type="http://schemas.openxmlformats.org/officeDocument/2006/relationships/hyperlink" Target="http://paineldeprecos.planejamento.gov.br/" TargetMode="External"/><Relationship Id="rId6" Type="http://schemas.openxmlformats.org/officeDocument/2006/relationships/hyperlink" Target="http://comprasnet.gov.br/acesso.asp?url=/ConsultaLicitacoes/ConsLicitacao_texto.asp" TargetMode="External"/><Relationship Id="rId7" Type="http://schemas.openxmlformats.org/officeDocument/2006/relationships/hyperlink" Target="http://comprasnet.gov.br/acesso.asp?url=/livre/pregao/ata0.asp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4</Pages>
  <Words>795</Words>
  <Characters>4587</Characters>
  <CharactersWithSpaces>5327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2023-02-23T10:20:50Z</dcterms:modified>
  <cp:revision>1</cp:revision>
  <dc:subject/>
  <dc:title/>
</cp:coreProperties>
</file>