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commentRangeStart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MATRIZ DE ACOCAÇÃO DE RISCOS – PLANEJAMENTO DA CONTRATAÇÃO</w:t>
      </w:r>
      <w:commentRangeEnd w:id="0"/>
      <w:r>
        <w:commentReference w:id="0"/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single"/>
          <w:vertAlign w:val="baseline"/>
        </w:rPr>
        <w:t>Documento deverá ser cadastrado no módulo Gestão de Riscos no SIASGNet. O CPF dos servidores deverá possuir acesso restrito. Ao incluir o documento no SIPAC, o CPF deverá ser excluído ou convertido em caracteres especiais que impossibilitem a identificação.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(São apresentados neste documento riscos comuns que costumam ser apontados como riscos da etapa de planejamento da contratação. Todavia, os responsáveis pela elaboração do documento deverão analisar as sugestões e sua aplicabilidade ao caso concreto, bem como complementar com os demais riscos identificados)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8"/>
        <w:gridCol w:w="1477"/>
        <w:gridCol w:w="51"/>
        <w:gridCol w:w="969"/>
        <w:gridCol w:w="512"/>
        <w:gridCol w:w="115"/>
        <w:gridCol w:w="1416"/>
        <w:gridCol w:w="508"/>
        <w:gridCol w:w="1022"/>
        <w:gridCol w:w="1531"/>
      </w:tblGrid>
      <w:tr>
        <w:trPr/>
        <w:tc>
          <w:tcPr>
            <w:tcW w:w="9359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RISCO 01 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CONTRATAÇÃO NÃO ATENDER AS NECESSIDADES DA ADMINISTRAÇÃO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49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3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3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adequado das necessidades da Administração.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Desperdício de recursos públicos.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Participação efetiva do setor/servidor requisitante e responsável pelas rotinas de fiscalização nas atividades da equipe de planejamento da contratação.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Atenção às reais necessidades da Administração na elaboração dos documentos que nortearão a contratação.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Avaliar a possibilidade de sanar com a alteração contratual.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0" w:after="15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8"/>
        <w:gridCol w:w="1477"/>
        <w:gridCol w:w="51"/>
        <w:gridCol w:w="969"/>
        <w:gridCol w:w="512"/>
        <w:gridCol w:w="115"/>
        <w:gridCol w:w="1416"/>
        <w:gridCol w:w="508"/>
        <w:gridCol w:w="1022"/>
        <w:gridCol w:w="1531"/>
      </w:tblGrid>
      <w:tr>
        <w:trPr/>
        <w:tc>
          <w:tcPr>
            <w:tcW w:w="9359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02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EQUÍVOCO NO DIMENSIONAMENTO DA DEMANDA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49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3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3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adequado das necessidades da Administração;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Desperdício de recursos públicos.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Elaboração de estudo técnico preliminar para o correto dimensionamento da demanda.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Esclarecer eventuais dúvidas dos servidores responsáveis quanto a correta elaboração do estudo técnico preliminar.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Compras e Licitações; Diretoria de Administração e Planejamento.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Refazer o dimensionamento de modo a atender as necessidades da Administração.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Avaliar a possibilidade de sanar com a alteração contratual.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 não havendo possibilidade de sanar com a alteração contratual, proceder a novo procedimento licitatório para contratação.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tbl>
      <w:tblPr>
        <w:tblStyle w:val="Table3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8"/>
        <w:gridCol w:w="1477"/>
        <w:gridCol w:w="51"/>
        <w:gridCol w:w="969"/>
        <w:gridCol w:w="512"/>
        <w:gridCol w:w="115"/>
        <w:gridCol w:w="1416"/>
        <w:gridCol w:w="508"/>
        <w:gridCol w:w="1022"/>
        <w:gridCol w:w="1531"/>
      </w:tblGrid>
      <w:tr>
        <w:trPr/>
        <w:tc>
          <w:tcPr>
            <w:tcW w:w="9359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03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PESSOAL EM QUANTIDADE OU COM QUALIFICAÇÃO INADEQUADA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49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3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3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das necessidades da Administração;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Desperdício de recurso público.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Detalhamento adequado e condizente das exigências de qualificação a serem exigidas dos profissionais.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Inserir cláusula contratual/editalícia onde a empresa fique obrigada a fornecer capacitação;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Orientar/ Realizar a fiscalização contínua quanto a execução das atividades verificando deficit de mão de obra.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Fiscais.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Realizar os descontos pertinentes com o IMR (Instrumento de Resultado)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Fiscais.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Solicitar substituição dos colaboradores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Fiscais.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Comunicar à Autoridade Máxima para eventual instauração de processo de penalização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4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8"/>
        <w:gridCol w:w="1477"/>
        <w:gridCol w:w="51"/>
        <w:gridCol w:w="969"/>
        <w:gridCol w:w="512"/>
        <w:gridCol w:w="115"/>
        <w:gridCol w:w="1416"/>
        <w:gridCol w:w="508"/>
        <w:gridCol w:w="1022"/>
        <w:gridCol w:w="1531"/>
      </w:tblGrid>
      <w:tr>
        <w:trPr/>
        <w:tc>
          <w:tcPr>
            <w:tcW w:w="9359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commentRangeStart w:id="1"/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04</w:t>
            </w:r>
            <w:commentRangeEnd w:id="1"/>
            <w:r>
              <w:commentReference w:id="1"/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DESCUMPRIMENTO DAS OBRIGAÇÕES TRABALHISTAS, PREVIDENCIÁRIAS E COM FGTS DA CONTRATADA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49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3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3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judiciais em que a Administração figure como parte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Responsabilização solidária da Administração em relação aos empregados alocados no contrato.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Previsão de exigência de Conta Vinculada;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Retenção mensal dos valores provisionados para a Conta Vinculada;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Execução Orçamentária e Financeira.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Fiscalização/Acompanhamento efetivo da execução do contrato em relação ao cumprimento das obrigações trabalhistas.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Fiscais.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Glosa a partir do instrumento de medição de resultados (IMR)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Fiscais.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Retenção do Pagamento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Fiscais.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Encaminhamento para apuração de responsabilização contratual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Rescisão contratual concomitante com uma nova contratação.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Coordenação de Licitações e Contratos; Diretoria de Administração e Planejamento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5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8"/>
        <w:gridCol w:w="1477"/>
        <w:gridCol w:w="51"/>
        <w:gridCol w:w="969"/>
        <w:gridCol w:w="512"/>
        <w:gridCol w:w="115"/>
        <w:gridCol w:w="1416"/>
        <w:gridCol w:w="508"/>
        <w:gridCol w:w="1022"/>
        <w:gridCol w:w="1531"/>
      </w:tblGrid>
      <w:tr>
        <w:trPr/>
        <w:tc>
          <w:tcPr>
            <w:tcW w:w="9359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05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CONTINGENCIAMENTO ORÇAMENTÁRIO/FALTA DE RECURSOS PARA A CONTRATAÇÃO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49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3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3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Impossibilidade da efetivação da contratação;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Atraso no adimplemento das obrigações junto a contratada;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601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 atendimento das necessidades da Administração;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Abandono do contrato em decorrência do não pagamento.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Priorizar a demanda no planejamento orçamentário/financeiro da instituição;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Vincular o certame a Lei 8.666/93, para garantir a aplicação do art. 75, XV, resguardando a obrigatoriedade de absorção dos impactos financeiros em caso de atraso de pagamento por até 90 dias.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Compras e Licitações.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Remanejar recursos para viabilizar os empenhos/pagamentos;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Prospectar novos recursos que viabilizem a contratação e sua continuidade;</w:t>
            </w:r>
          </w:p>
        </w:tc>
        <w:tc>
          <w:tcPr>
            <w:tcW w:w="4477" w:type="dxa"/>
            <w:gridSpan w:val="4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75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12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Readequar a contratação para eventual nova realidade orçamentária/financeira</w:t>
            </w:r>
          </w:p>
        </w:tc>
        <w:tc>
          <w:tcPr>
            <w:tcW w:w="4477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Contratos;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6"/>
        <w:tblW w:w="94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4"/>
        <w:gridCol w:w="7140"/>
      </w:tblGrid>
      <w:tr>
        <w:trPr/>
        <w:tc>
          <w:tcPr>
            <w:tcW w:w="9404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INDICAÇÃO DE SERVIDORES REQUISITANTES E RESPONSÁVEIS PELA ELABORAÇÃO DOS ESTUDOS PRELIMINARES (EQUIPE DE PLANEJAMENTO DA CONTRATAÇÃO/AQUISIÇÃO)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Requisitante: 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Requisitante: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Requisitante: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pela Equipe de Planejamento da Contratação/Aquisição.</w:t>
      </w:r>
    </w:p>
    <w:p>
      <w:pPr>
        <w:pStyle w:val="Normal1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position w:val="0"/>
          <w:sz w:val="16"/>
          <w:sz w:val="16"/>
          <w:szCs w:val="16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23-01-30T19:20:39Z" w:initials="">
    <w:p>
      <w:r>
        <w:rPr>
          <w:rFonts w:eastAsia="Segoe UI" w:cs="Tahoma"/>
          <w:lang w:val="en-US" w:eastAsia="en-US" w:bidi="en-US"/>
        </w:rPr>
        <w:t>Deverá ser utilizado em todas os pedidos de compras/serviços, exceto os enquadrados como dispensa de licitação, observando as peculiaridades em decorrência dos objetos:</w:t>
      </w:r>
    </w:p>
    <w:p>
      <w:r>
        <w:rPr>
          <w:rFonts w:eastAsia="Segoe UI" w:cs="Tahoma"/>
          <w:lang w:val="en-US" w:eastAsia="en-US" w:bidi="en-US"/>
        </w:rPr>
      </w:r>
    </w:p>
    <w:p>
      <w:r>
        <w:rPr>
          <w:rFonts w:eastAsia="Segoe UI" w:cs="Tahoma"/>
          <w:lang w:val="en-US" w:eastAsia="en-US" w:bidi="en-US"/>
        </w:rPr>
        <w:t>IN 04/2014;</w:t>
      </w:r>
    </w:p>
    <w:p>
      <w:r>
        <w:rPr>
          <w:rFonts w:eastAsia="Segoe UI" w:cs="Tahoma"/>
          <w:lang w:val="en-US" w:eastAsia="en-US" w:bidi="en-US"/>
        </w:rPr>
        <w:t>IN 05/2017;</w:t>
      </w:r>
    </w:p>
    <w:p>
      <w:r>
        <w:rPr>
          <w:rFonts w:eastAsia="Segoe UI" w:cs="Tahoma"/>
          <w:lang w:val="en-US" w:eastAsia="en-US" w:bidi="en-US"/>
        </w:rPr>
        <w:t>Lei 14.133/2021.</w:t>
      </w:r>
    </w:p>
    <w:p>
      <w:r>
        <w:rPr>
          <w:rFonts w:eastAsia="Segoe UI" w:cs="Tahoma"/>
          <w:lang w:val="en-US" w:eastAsia="en-US" w:bidi="en-US"/>
        </w:rPr>
      </w:r>
    </w:p>
    <w:p>
      <w:r>
        <w:rPr>
          <w:rFonts w:eastAsia="Segoe UI" w:cs="Tahoma"/>
          <w:lang w:val="en-US" w:eastAsia="en-US" w:bidi="en-US"/>
        </w:rPr>
        <w:t>Os riscos aqui mencionados deverão ser cadastrados no Portal de Compras do Governo Federal.</w:t>
      </w:r>
    </w:p>
  </w:comment>
  <w:comment w:id="1" w:author="Autor desconhecido" w:date="2023-01-30T19:20:39Z" w:initials="">
    <w:p>
      <w:r>
        <w:rPr>
          <w:rFonts w:eastAsia="Segoe UI" w:cs="Tahoma"/>
          <w:lang w:val="en-US" w:eastAsia="en-US" w:bidi="en-US"/>
        </w:rPr>
        <w:t>Sugere-se a utilização em casos de contratações que envolvam dedicação exclusiva de mão de obra.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7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4970" cy="51308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0" t="-330" r="-110" b="-3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1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8655" cy="6845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7</Pages>
  <Words>1242</Words>
  <Characters>7352</Characters>
  <CharactersWithSpaces>8516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2023-02-23T09:56:23Z</dcterms:modified>
  <cp:revision>1</cp:revision>
  <dc:subject/>
  <dc:title/>
</cp:coreProperties>
</file>